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5117A" w14:textId="32AA2C97" w:rsidR="00E668BE" w:rsidRPr="0024653A" w:rsidRDefault="003F0F4E" w:rsidP="00E668BE">
      <w:pPr>
        <w:tabs>
          <w:tab w:val="right" w:pos="9639"/>
        </w:tabs>
        <w:rPr>
          <w:rFonts w:ascii="Arial" w:hAnsi="Arial" w:cs="Arial"/>
          <w:b/>
          <w:sz w:val="24"/>
          <w:szCs w:val="24"/>
          <w:lang w:eastAsia="ko-KR"/>
        </w:rPr>
      </w:pPr>
      <w:r>
        <w:rPr>
          <w:rFonts w:ascii="Arial" w:hAnsi="Arial" w:cs="Arial"/>
          <w:b/>
          <w:sz w:val="24"/>
          <w:szCs w:val="24"/>
        </w:rPr>
        <w:t>3GPP TSG-RAN WG4 Meeting #106</w:t>
      </w:r>
      <w:r w:rsidR="00E668BE" w:rsidRPr="0024653A">
        <w:rPr>
          <w:rFonts w:ascii="Arial" w:hAnsi="Arial" w:cs="Arial"/>
          <w:b/>
          <w:sz w:val="24"/>
          <w:szCs w:val="24"/>
        </w:rPr>
        <w:tab/>
      </w:r>
      <w:r w:rsidR="00D71EDD" w:rsidRPr="00D71EDD">
        <w:rPr>
          <w:rFonts w:ascii="Arial" w:hAnsi="Arial" w:cs="Arial"/>
          <w:b/>
          <w:sz w:val="24"/>
          <w:szCs w:val="24"/>
        </w:rPr>
        <w:t>R4-2</w:t>
      </w:r>
      <w:r>
        <w:rPr>
          <w:rFonts w:ascii="Arial" w:hAnsi="Arial" w:cs="Arial"/>
          <w:b/>
          <w:sz w:val="24"/>
          <w:szCs w:val="24"/>
        </w:rPr>
        <w:t>30</w:t>
      </w:r>
      <w:r w:rsidR="004F2F26">
        <w:rPr>
          <w:rFonts w:ascii="Arial" w:hAnsi="Arial" w:cs="Arial"/>
          <w:b/>
          <w:sz w:val="24"/>
          <w:szCs w:val="24"/>
        </w:rPr>
        <w:t>20</w:t>
      </w:r>
      <w:r w:rsidR="0003196D">
        <w:rPr>
          <w:rFonts w:ascii="Arial" w:hAnsi="Arial" w:cs="Arial"/>
          <w:b/>
          <w:sz w:val="24"/>
          <w:szCs w:val="24"/>
        </w:rPr>
        <w:t>45</w:t>
      </w:r>
    </w:p>
    <w:p w14:paraId="46A940EB" w14:textId="169B1761" w:rsidR="00151CDF" w:rsidRPr="00151CDF" w:rsidRDefault="003F0F4E" w:rsidP="00152C1A">
      <w:pPr>
        <w:widowControl/>
        <w:tabs>
          <w:tab w:val="right" w:pos="9639"/>
        </w:tabs>
        <w:spacing w:after="100" w:afterAutospacing="1"/>
        <w:jc w:val="left"/>
        <w:rPr>
          <w:rFonts w:ascii="Arial" w:eastAsia="等线" w:hAnsi="Arial" w:cs="Arial"/>
          <w:b/>
          <w:kern w:val="0"/>
          <w:sz w:val="24"/>
          <w:szCs w:val="24"/>
          <w:lang w:val="en-GB"/>
        </w:rPr>
      </w:pPr>
      <w:r>
        <w:rPr>
          <w:rFonts w:ascii="Arial" w:hAnsi="Arial" w:cs="Arial"/>
          <w:b/>
          <w:sz w:val="24"/>
          <w:szCs w:val="24"/>
        </w:rPr>
        <w:t>Athens</w:t>
      </w:r>
      <w:r w:rsidRPr="00E13633">
        <w:rPr>
          <w:rFonts w:ascii="Arial" w:hAnsi="Arial" w:cs="Arial"/>
          <w:b/>
          <w:sz w:val="24"/>
          <w:szCs w:val="24"/>
        </w:rPr>
        <w:t>,</w:t>
      </w:r>
      <w:r>
        <w:rPr>
          <w:rFonts w:ascii="Arial" w:hAnsi="Arial" w:cs="Arial"/>
          <w:b/>
          <w:sz w:val="24"/>
          <w:szCs w:val="24"/>
        </w:rPr>
        <w:t xml:space="preserve"> Greece,</w:t>
      </w:r>
      <w:r w:rsidRPr="00E13633">
        <w:rPr>
          <w:rFonts w:ascii="Arial" w:hAnsi="Arial" w:cs="Arial"/>
          <w:b/>
          <w:sz w:val="24"/>
          <w:szCs w:val="24"/>
        </w:rPr>
        <w:t xml:space="preserve"> </w:t>
      </w:r>
      <w:r>
        <w:rPr>
          <w:rFonts w:ascii="Arial" w:hAnsi="Arial" w:cs="Arial"/>
          <w:b/>
          <w:sz w:val="24"/>
          <w:szCs w:val="24"/>
        </w:rPr>
        <w:t>February 27</w:t>
      </w:r>
      <w:r w:rsidRPr="00E13633">
        <w:rPr>
          <w:rFonts w:ascii="Arial" w:hAnsi="Arial" w:cs="Arial"/>
          <w:b/>
          <w:sz w:val="24"/>
          <w:szCs w:val="24"/>
        </w:rPr>
        <w:t xml:space="preserve"> – </w:t>
      </w:r>
      <w:r>
        <w:rPr>
          <w:rFonts w:ascii="Arial" w:hAnsi="Arial" w:cs="Arial"/>
          <w:b/>
          <w:sz w:val="24"/>
          <w:szCs w:val="24"/>
        </w:rPr>
        <w:t>March 3</w:t>
      </w:r>
      <w:r w:rsidRPr="00E13633">
        <w:rPr>
          <w:rFonts w:ascii="Arial" w:hAnsi="Arial" w:cs="Arial"/>
          <w:b/>
          <w:sz w:val="24"/>
          <w:szCs w:val="24"/>
        </w:rPr>
        <w:t>, 2022</w:t>
      </w:r>
    </w:p>
    <w:p w14:paraId="662C52C8" w14:textId="77777777" w:rsidR="00151CDF" w:rsidRPr="00151CDF" w:rsidRDefault="00151CDF" w:rsidP="00151CDF">
      <w:pPr>
        <w:widowControl/>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46CD7337" w:rsidR="00151CDF" w:rsidRPr="00151CDF" w:rsidRDefault="00151CDF" w:rsidP="00151CDF">
      <w:pPr>
        <w:widowControl/>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66282D" w:rsidRPr="0066282D">
        <w:rPr>
          <w:rFonts w:ascii="Arial" w:eastAsia="MS Mincho" w:hAnsi="Arial" w:cs="Arial"/>
          <w:color w:val="000000"/>
          <w:kern w:val="0"/>
          <w:sz w:val="22"/>
          <w:szCs w:val="20"/>
          <w:lang w:val="en-GB" w:eastAsia="en-US"/>
        </w:rPr>
        <w:t>Regulations for Sidelink on unlicensed spectrum</w:t>
      </w:r>
    </w:p>
    <w:p w14:paraId="77A5DDF9" w14:textId="64C1790D" w:rsidR="00151CDF" w:rsidRPr="00151CDF" w:rsidRDefault="00151CDF" w:rsidP="00151CDF">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3F0F4E">
        <w:rPr>
          <w:rFonts w:ascii="Arial" w:eastAsia="MS Mincho" w:hAnsi="Arial" w:cs="Arial"/>
          <w:color w:val="000000"/>
          <w:kern w:val="0"/>
          <w:sz w:val="22"/>
          <w:szCs w:val="20"/>
          <w:lang w:val="pt-BR" w:eastAsia="ja-JP"/>
        </w:rPr>
        <w:t>9</w:t>
      </w:r>
      <w:r w:rsidR="00735B29">
        <w:rPr>
          <w:rFonts w:ascii="Arial" w:eastAsia="MS Mincho" w:hAnsi="Arial" w:cs="Arial"/>
          <w:color w:val="000000"/>
          <w:kern w:val="0"/>
          <w:sz w:val="22"/>
          <w:szCs w:val="20"/>
          <w:lang w:val="pt-BR" w:eastAsia="ja-JP"/>
        </w:rPr>
        <w:t>.2</w:t>
      </w:r>
      <w:r w:rsidR="009A087B">
        <w:rPr>
          <w:rFonts w:ascii="Arial" w:eastAsia="MS Mincho" w:hAnsi="Arial" w:cs="Arial"/>
          <w:color w:val="000000"/>
          <w:kern w:val="0"/>
          <w:sz w:val="22"/>
          <w:szCs w:val="20"/>
          <w:lang w:val="pt-BR" w:eastAsia="ja-JP"/>
        </w:rPr>
        <w:t>9</w:t>
      </w:r>
      <w:r w:rsidR="00735B29">
        <w:rPr>
          <w:rFonts w:ascii="Arial" w:eastAsia="MS Mincho" w:hAnsi="Arial" w:cs="Arial"/>
          <w:color w:val="000000"/>
          <w:kern w:val="0"/>
          <w:sz w:val="22"/>
          <w:szCs w:val="20"/>
          <w:lang w:val="pt-BR" w:eastAsia="ja-JP"/>
        </w:rPr>
        <w:t>.2</w:t>
      </w:r>
    </w:p>
    <w:p w14:paraId="314195EA" w14:textId="6DCA467B" w:rsidR="00151CDF" w:rsidRPr="00151CDF" w:rsidRDefault="00151CDF" w:rsidP="00151CDF">
      <w:pPr>
        <w:widowControl/>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F64122">
        <w:rPr>
          <w:rFonts w:ascii="Arial" w:eastAsia="MS Mincho" w:hAnsi="Arial" w:cs="Arial"/>
          <w:color w:val="000000"/>
          <w:kern w:val="0"/>
          <w:sz w:val="22"/>
          <w:szCs w:val="20"/>
          <w:lang w:val="en-GB" w:eastAsia="ja-JP"/>
        </w:rPr>
        <w:t>information</w:t>
      </w:r>
    </w:p>
    <w:p w14:paraId="376F651A" w14:textId="77777777" w:rsidR="000C74C9" w:rsidRDefault="000C74C9" w:rsidP="00BD3BC8">
      <w:pPr>
        <w:keepNext/>
        <w:keepLines/>
        <w:widowControl/>
        <w:pBdr>
          <w:top w:val="single" w:sz="12" w:space="1" w:color="auto"/>
        </w:pBdr>
        <w:tabs>
          <w:tab w:val="left" w:pos="567"/>
        </w:tabs>
        <w:adjustRightInd w:val="0"/>
        <w:snapToGri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bookmarkStart w:id="0" w:name="_GoBack"/>
      <w:bookmarkEnd w:id="0"/>
    </w:p>
    <w:p w14:paraId="63D528D8" w14:textId="77777777" w:rsidR="0066282D" w:rsidRDefault="0066282D" w:rsidP="0066282D">
      <w:pPr>
        <w:widowControl/>
        <w:overflowPunct w:val="0"/>
        <w:autoSpaceDE w:val="0"/>
        <w:autoSpaceDN w:val="0"/>
        <w:adjustRightInd w:val="0"/>
        <w:snapToGrid w:val="0"/>
        <w:spacing w:after="60" w:line="300" w:lineRule="auto"/>
        <w:textAlignment w:val="baseline"/>
        <w:rPr>
          <w:rFonts w:ascii="Times New Roman" w:hAnsi="Times New Roman"/>
          <w:kern w:val="0"/>
          <w:sz w:val="22"/>
        </w:rPr>
      </w:pPr>
      <w:r>
        <w:rPr>
          <w:rFonts w:ascii="Times New Roman" w:hAnsi="Times New Roman"/>
          <w:kern w:val="0"/>
          <w:sz w:val="22"/>
        </w:rPr>
        <w:t xml:space="preserve">In the RAN#98-e meeting, the WID revision [1] was approved </w:t>
      </w:r>
      <w:r>
        <w:rPr>
          <w:rFonts w:ascii="Times New Roman" w:hAnsi="Times New Roman" w:hint="eastAsia"/>
          <w:kern w:val="0"/>
          <w:sz w:val="22"/>
        </w:rPr>
        <w:t>with</w:t>
      </w:r>
      <w:r>
        <w:rPr>
          <w:rFonts w:ascii="Times New Roman" w:hAnsi="Times New Roman"/>
          <w:kern w:val="0"/>
          <w:sz w:val="22"/>
        </w:rPr>
        <w:t xml:space="preserve"> the following objective regarding the support of sidelink on FR1 unlicensed spectrum</w:t>
      </w:r>
    </w:p>
    <w:tbl>
      <w:tblPr>
        <w:tblStyle w:val="aa"/>
        <w:tblW w:w="0" w:type="auto"/>
        <w:tblLook w:val="04A0" w:firstRow="1" w:lastRow="0" w:firstColumn="1" w:lastColumn="0" w:noHBand="0" w:noVBand="1"/>
      </w:tblPr>
      <w:tblGrid>
        <w:gridCol w:w="9736"/>
      </w:tblGrid>
      <w:tr w:rsidR="0066282D" w:rsidRPr="00E676EF" w14:paraId="2AF37C90" w14:textId="77777777" w:rsidTr="00A830AE">
        <w:trPr>
          <w:trHeight w:val="2315"/>
        </w:trPr>
        <w:tc>
          <w:tcPr>
            <w:tcW w:w="9736" w:type="dxa"/>
          </w:tcPr>
          <w:p w14:paraId="79B407BC" w14:textId="77777777" w:rsidR="00CA743F" w:rsidRPr="00CA743F" w:rsidRDefault="00CA743F" w:rsidP="00CA743F">
            <w:pPr>
              <w:widowControl/>
              <w:overflowPunct w:val="0"/>
              <w:autoSpaceDE w:val="0"/>
              <w:autoSpaceDN w:val="0"/>
              <w:adjustRightInd w:val="0"/>
              <w:snapToGrid w:val="0"/>
              <w:spacing w:line="288" w:lineRule="auto"/>
              <w:jc w:val="left"/>
              <w:textAlignment w:val="baseline"/>
              <w:rPr>
                <w:rFonts w:ascii="Times New Roman" w:eastAsia="Batang" w:hAnsi="Times New Roman"/>
                <w:lang w:val="en-US"/>
              </w:rPr>
            </w:pPr>
            <w:r w:rsidRPr="00CA743F">
              <w:rPr>
                <w:rFonts w:ascii="Times New Roman" w:eastAsia="Batang" w:hAnsi="Times New Roman"/>
                <w:lang w:val="en-US"/>
              </w:rPr>
              <w:t>Study and specify support of sidelink on unlicensed spectrum for both mode 1 and mode 2 where Uu operation for mode 1 is limited to licensed spectrum only [RAN1, RAN2, RAN4]</w:t>
            </w:r>
          </w:p>
          <w:p w14:paraId="0A99B9C0" w14:textId="77777777" w:rsidR="00CA743F" w:rsidRPr="00CA743F" w:rsidRDefault="00CA743F" w:rsidP="00CA743F">
            <w:pPr>
              <w:widowControl/>
              <w:numPr>
                <w:ilvl w:val="0"/>
                <w:numId w:val="8"/>
              </w:numPr>
              <w:overflowPunct w:val="0"/>
              <w:autoSpaceDE w:val="0"/>
              <w:autoSpaceDN w:val="0"/>
              <w:adjustRightInd w:val="0"/>
              <w:snapToGrid w:val="0"/>
              <w:spacing w:before="0" w:line="288" w:lineRule="auto"/>
              <w:jc w:val="left"/>
              <w:textAlignment w:val="baseline"/>
              <w:rPr>
                <w:rFonts w:ascii="Times New Roman" w:eastAsia="Batang" w:hAnsi="Times New Roman"/>
                <w:lang w:val="en-US"/>
              </w:rPr>
            </w:pPr>
            <w:r w:rsidRPr="00CA743F">
              <w:rPr>
                <w:rFonts w:ascii="Times New Roman" w:eastAsia="Batang" w:hAnsi="Times New Roman"/>
                <w:lang w:val="en-US"/>
              </w:rPr>
              <w:t>Channel access mechanisms from NR-U shall be reused for sidelink unlicensed operation</w:t>
            </w:r>
          </w:p>
          <w:p w14:paraId="4677B75E" w14:textId="77777777" w:rsidR="00CA743F" w:rsidRPr="00CA743F" w:rsidRDefault="00CA743F" w:rsidP="00CA743F">
            <w:pPr>
              <w:widowControl/>
              <w:numPr>
                <w:ilvl w:val="1"/>
                <w:numId w:val="8"/>
              </w:numPr>
              <w:overflowPunct w:val="0"/>
              <w:autoSpaceDE w:val="0"/>
              <w:autoSpaceDN w:val="0"/>
              <w:adjustRightInd w:val="0"/>
              <w:snapToGrid w:val="0"/>
              <w:spacing w:before="0" w:line="288" w:lineRule="auto"/>
              <w:jc w:val="left"/>
              <w:textAlignment w:val="baseline"/>
              <w:rPr>
                <w:rFonts w:ascii="Times New Roman" w:eastAsia="Batang" w:hAnsi="Times New Roman"/>
                <w:lang w:val="en-US"/>
              </w:rPr>
            </w:pPr>
            <w:bookmarkStart w:id="1" w:name="_Hlk89917081"/>
            <w:r w:rsidRPr="00CA743F">
              <w:rPr>
                <w:rFonts w:ascii="Times New Roman" w:eastAsia="Batang" w:hAnsi="Times New Roman"/>
                <w:lang w:val="en-US"/>
              </w:rPr>
              <w:t>Assess the applicability of sidelink resource reservation from Rel-16/Rel-17 to sidelink unlicensed operation within the boundaries of unlicensed channel access mechanism and operation</w:t>
            </w:r>
          </w:p>
          <w:p w14:paraId="79C268F6" w14:textId="77777777" w:rsidR="00CA743F" w:rsidRPr="00CA743F" w:rsidRDefault="00CA743F" w:rsidP="00CA743F">
            <w:pPr>
              <w:widowControl/>
              <w:numPr>
                <w:ilvl w:val="2"/>
                <w:numId w:val="8"/>
              </w:numPr>
              <w:overflowPunct w:val="0"/>
              <w:autoSpaceDE w:val="0"/>
              <w:autoSpaceDN w:val="0"/>
              <w:adjustRightInd w:val="0"/>
              <w:snapToGrid w:val="0"/>
              <w:spacing w:before="0" w:line="288" w:lineRule="auto"/>
              <w:jc w:val="left"/>
              <w:textAlignment w:val="baseline"/>
              <w:rPr>
                <w:rFonts w:ascii="Times New Roman" w:eastAsia="Batang" w:hAnsi="Times New Roman"/>
                <w:lang w:val="en-US"/>
              </w:rPr>
            </w:pPr>
            <w:r w:rsidRPr="00CA743F">
              <w:rPr>
                <w:rFonts w:ascii="Times New Roman" w:eastAsia="Batang" w:hAnsi="Times New Roman"/>
                <w:lang w:val="en-US"/>
              </w:rPr>
              <w:t>No specific enhancements for Rel-17 resource allocation mechanisms</w:t>
            </w:r>
            <w:bookmarkEnd w:id="1"/>
          </w:p>
          <w:p w14:paraId="3241A113" w14:textId="77777777" w:rsidR="00CA743F" w:rsidRPr="00CA743F" w:rsidRDefault="00CA743F" w:rsidP="00CA743F">
            <w:pPr>
              <w:widowControl/>
              <w:numPr>
                <w:ilvl w:val="2"/>
                <w:numId w:val="8"/>
              </w:numPr>
              <w:overflowPunct w:val="0"/>
              <w:autoSpaceDE w:val="0"/>
              <w:autoSpaceDN w:val="0"/>
              <w:adjustRightInd w:val="0"/>
              <w:snapToGrid w:val="0"/>
              <w:spacing w:before="0" w:line="288" w:lineRule="auto"/>
              <w:jc w:val="left"/>
              <w:textAlignment w:val="baseline"/>
              <w:rPr>
                <w:rFonts w:ascii="Times New Roman" w:eastAsia="Batang" w:hAnsi="Times New Roman"/>
                <w:lang w:val="en-US"/>
              </w:rPr>
            </w:pPr>
            <w:r w:rsidRPr="00CA743F">
              <w:rPr>
                <w:rFonts w:ascii="Times New Roman" w:eastAsia="Batang" w:hAnsi="Times New Roman"/>
                <w:lang w:val="en-US"/>
              </w:rPr>
              <w:t>If the existing NR-U channel access framework does not support the required SL-U functionality, WGs will make appropriate recommendations for RAN approval.</w:t>
            </w:r>
          </w:p>
          <w:p w14:paraId="1ACD2B8C" w14:textId="77777777" w:rsidR="00CA743F" w:rsidRPr="00CA743F" w:rsidRDefault="00CA743F" w:rsidP="00CA743F">
            <w:pPr>
              <w:widowControl/>
              <w:numPr>
                <w:ilvl w:val="0"/>
                <w:numId w:val="8"/>
              </w:numPr>
              <w:overflowPunct w:val="0"/>
              <w:autoSpaceDE w:val="0"/>
              <w:autoSpaceDN w:val="0"/>
              <w:adjustRightInd w:val="0"/>
              <w:snapToGrid w:val="0"/>
              <w:spacing w:before="0" w:line="288" w:lineRule="auto"/>
              <w:jc w:val="left"/>
              <w:textAlignment w:val="baseline"/>
              <w:rPr>
                <w:rFonts w:ascii="Times New Roman" w:eastAsia="Batang" w:hAnsi="Times New Roman"/>
                <w:lang w:val="en-US"/>
              </w:rPr>
            </w:pPr>
            <w:bookmarkStart w:id="2" w:name="_Hlk89917101"/>
            <w:r w:rsidRPr="00CA743F">
              <w:rPr>
                <w:rFonts w:ascii="Times New Roman" w:eastAsia="Batang" w:hAnsi="Times New Roman"/>
                <w:lang w:val="en-US"/>
              </w:rPr>
              <w:t>Physical channel design framework: Required changes to NR sidelink physical channel structures and procedures to operate on unlicensed spectrum</w:t>
            </w:r>
            <w:bookmarkEnd w:id="2"/>
          </w:p>
          <w:p w14:paraId="4C0C64F0" w14:textId="77777777" w:rsidR="00CA743F" w:rsidRPr="00CA743F" w:rsidRDefault="00CA743F" w:rsidP="00CA743F">
            <w:pPr>
              <w:widowControl/>
              <w:numPr>
                <w:ilvl w:val="1"/>
                <w:numId w:val="8"/>
              </w:numPr>
              <w:overflowPunct w:val="0"/>
              <w:autoSpaceDE w:val="0"/>
              <w:autoSpaceDN w:val="0"/>
              <w:adjustRightInd w:val="0"/>
              <w:snapToGrid w:val="0"/>
              <w:spacing w:before="0" w:line="288" w:lineRule="auto"/>
              <w:jc w:val="left"/>
              <w:textAlignment w:val="baseline"/>
              <w:rPr>
                <w:rFonts w:ascii="Times New Roman" w:eastAsia="Batang" w:hAnsi="Times New Roman"/>
                <w:lang w:val="en-US"/>
              </w:rPr>
            </w:pPr>
            <w:bookmarkStart w:id="3" w:name="_Hlk89917118"/>
            <w:r w:rsidRPr="00CA743F">
              <w:rPr>
                <w:rFonts w:ascii="Times New Roman" w:eastAsia="Batang" w:hAnsi="Times New Roman"/>
                <w:lang w:val="en-US"/>
              </w:rPr>
              <w:t xml:space="preserve">The existing NR sidelink and NR-U channel structure shall be reused </w:t>
            </w:r>
            <w:bookmarkEnd w:id="3"/>
            <w:r w:rsidRPr="00CA743F">
              <w:rPr>
                <w:rFonts w:ascii="Times New Roman" w:eastAsia="Batang" w:hAnsi="Times New Roman"/>
                <w:lang w:val="en-US"/>
              </w:rPr>
              <w:t>as the baseline.</w:t>
            </w:r>
          </w:p>
          <w:p w14:paraId="1289252E" w14:textId="77777777" w:rsidR="00CA743F" w:rsidRPr="00CA743F" w:rsidRDefault="00CA743F" w:rsidP="00CA743F">
            <w:pPr>
              <w:widowControl/>
              <w:numPr>
                <w:ilvl w:val="0"/>
                <w:numId w:val="8"/>
              </w:numPr>
              <w:overflowPunct w:val="0"/>
              <w:autoSpaceDE w:val="0"/>
              <w:autoSpaceDN w:val="0"/>
              <w:adjustRightInd w:val="0"/>
              <w:snapToGrid w:val="0"/>
              <w:spacing w:before="0" w:line="288" w:lineRule="auto"/>
              <w:jc w:val="left"/>
              <w:textAlignment w:val="baseline"/>
              <w:rPr>
                <w:rFonts w:ascii="Times New Roman" w:eastAsia="Batang" w:hAnsi="Times New Roman"/>
                <w:lang w:val="en-US"/>
              </w:rPr>
            </w:pPr>
            <w:bookmarkStart w:id="4" w:name="_Hlk89917140"/>
            <w:r w:rsidRPr="00CA743F">
              <w:rPr>
                <w:rFonts w:ascii="Times New Roman" w:eastAsia="Batang" w:hAnsi="Times New Roman"/>
                <w:lang w:val="en-US"/>
              </w:rPr>
              <w:t>No specific enhancements for existing NR SL feature</w:t>
            </w:r>
            <w:bookmarkEnd w:id="4"/>
          </w:p>
          <w:p w14:paraId="32640EF5" w14:textId="77777777" w:rsidR="00CA743F" w:rsidRPr="00CA743F" w:rsidRDefault="00CA743F" w:rsidP="00CA743F">
            <w:pPr>
              <w:widowControl/>
              <w:numPr>
                <w:ilvl w:val="0"/>
                <w:numId w:val="8"/>
              </w:numPr>
              <w:overflowPunct w:val="0"/>
              <w:autoSpaceDE w:val="0"/>
              <w:autoSpaceDN w:val="0"/>
              <w:adjustRightInd w:val="0"/>
              <w:snapToGrid w:val="0"/>
              <w:spacing w:before="0" w:line="288" w:lineRule="auto"/>
              <w:jc w:val="left"/>
              <w:textAlignment w:val="baseline"/>
              <w:rPr>
                <w:rFonts w:ascii="Times New Roman" w:eastAsia="Batang" w:hAnsi="Times New Roman"/>
                <w:lang w:val="en-US"/>
              </w:rPr>
            </w:pPr>
            <w:r w:rsidRPr="00CA743F">
              <w:rPr>
                <w:rFonts w:ascii="Times New Roman" w:eastAsia="Batang" w:hAnsi="Times New Roman"/>
                <w:lang w:val="en-US"/>
              </w:rPr>
              <w:t>Focus on FR1 unlicensed bands (n46 and n96/n102)</w:t>
            </w:r>
            <w:bookmarkStart w:id="5" w:name="_Hlk89917215"/>
            <w:r w:rsidRPr="00CA743F">
              <w:rPr>
                <w:rFonts w:ascii="Times New Roman" w:eastAsia="Batang" w:hAnsi="Times New Roman"/>
                <w:lang w:val="en-US"/>
              </w:rPr>
              <w:t>.</w:t>
            </w:r>
            <w:bookmarkEnd w:id="5"/>
          </w:p>
          <w:p w14:paraId="62E29ED0" w14:textId="0BF8DAF6" w:rsidR="0066282D" w:rsidRPr="00CA743F" w:rsidRDefault="00CA743F" w:rsidP="00CA743F">
            <w:pPr>
              <w:widowControl/>
              <w:numPr>
                <w:ilvl w:val="0"/>
                <w:numId w:val="8"/>
              </w:numPr>
              <w:overflowPunct w:val="0"/>
              <w:autoSpaceDE w:val="0"/>
              <w:autoSpaceDN w:val="0"/>
              <w:adjustRightInd w:val="0"/>
              <w:snapToGrid w:val="0"/>
              <w:spacing w:before="0" w:after="120" w:line="288" w:lineRule="auto"/>
              <w:ind w:left="714" w:hanging="357"/>
              <w:jc w:val="left"/>
              <w:textAlignment w:val="baseline"/>
              <w:rPr>
                <w:rFonts w:ascii="Times New Roman" w:eastAsia="Batang" w:hAnsi="Times New Roman"/>
                <w:lang w:val="en-US"/>
              </w:rPr>
            </w:pPr>
            <w:r w:rsidRPr="00CA743F">
              <w:rPr>
                <w:rFonts w:ascii="Times New Roman" w:eastAsia="Batang" w:hAnsi="Times New Roman"/>
                <w:lang w:val="en-US"/>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7F43E4C6" w14:textId="36DAE4AE" w:rsidR="00C418C4" w:rsidRPr="00C418C4" w:rsidRDefault="00CA743F" w:rsidP="00CA743F">
      <w:pPr>
        <w:widowControl/>
        <w:overflowPunct w:val="0"/>
        <w:autoSpaceDE w:val="0"/>
        <w:autoSpaceDN w:val="0"/>
        <w:adjustRightInd w:val="0"/>
        <w:snapToGrid w:val="0"/>
        <w:spacing w:before="120" w:after="60" w:line="300" w:lineRule="auto"/>
        <w:textAlignment w:val="baseline"/>
        <w:rPr>
          <w:rFonts w:ascii="Times New Roman" w:hAnsi="Times New Roman"/>
          <w:kern w:val="0"/>
          <w:sz w:val="22"/>
        </w:rPr>
      </w:pPr>
      <w:r w:rsidRPr="00C418C4">
        <w:rPr>
          <w:rFonts w:ascii="Times New Roman" w:hAnsi="Times New Roman"/>
          <w:kern w:val="0"/>
          <w:sz w:val="22"/>
        </w:rPr>
        <w:t xml:space="preserve">In </w:t>
      </w:r>
      <w:r>
        <w:rPr>
          <w:rFonts w:ascii="Times New Roman" w:hAnsi="Times New Roman"/>
          <w:kern w:val="0"/>
          <w:sz w:val="22"/>
        </w:rPr>
        <w:t>this contribution, we</w:t>
      </w:r>
      <w:r w:rsidR="0099561C">
        <w:rPr>
          <w:rFonts w:ascii="Times New Roman" w:hAnsi="Times New Roman"/>
          <w:kern w:val="0"/>
          <w:sz w:val="22"/>
        </w:rPr>
        <w:t xml:space="preserve"> focus</w:t>
      </w:r>
      <w:r>
        <w:rPr>
          <w:rFonts w:ascii="Times New Roman" w:hAnsi="Times New Roman"/>
          <w:kern w:val="0"/>
          <w:sz w:val="22"/>
        </w:rPr>
        <w:t xml:space="preserve"> on the regulations for </w:t>
      </w:r>
      <w:r w:rsidR="004515CF">
        <w:rPr>
          <w:rFonts w:ascii="Times New Roman" w:hAnsi="Times New Roman"/>
          <w:kern w:val="0"/>
          <w:sz w:val="22"/>
        </w:rPr>
        <w:t>s</w:t>
      </w:r>
      <w:r>
        <w:rPr>
          <w:rFonts w:ascii="Times New Roman" w:hAnsi="Times New Roman"/>
          <w:kern w:val="0"/>
          <w:sz w:val="22"/>
        </w:rPr>
        <w:t>idelink on unlicensed spectrum.</w:t>
      </w:r>
    </w:p>
    <w:p w14:paraId="47B0DEB7" w14:textId="77777777" w:rsidR="000C74C9" w:rsidRDefault="000C74C9" w:rsidP="00BD3BC8">
      <w:pPr>
        <w:keepNext/>
        <w:keepLines/>
        <w:widowControl/>
        <w:pBdr>
          <w:top w:val="single" w:sz="12" w:space="1" w:color="auto"/>
        </w:pBdr>
        <w:tabs>
          <w:tab w:val="left" w:pos="567"/>
        </w:tabs>
        <w:adjustRightInd w:val="0"/>
        <w:snapToGri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6F4E70B6" w14:textId="187C7B0D" w:rsidR="00CB1F98" w:rsidRDefault="00FC31FB" w:rsidP="00CB1F98">
      <w:pPr>
        <w:snapToGrid w:val="0"/>
        <w:spacing w:before="120"/>
        <w:rPr>
          <w:rFonts w:ascii="Times New Roman" w:hAnsi="Times New Roman"/>
          <w:kern w:val="0"/>
          <w:sz w:val="22"/>
          <w:szCs w:val="20"/>
        </w:rPr>
      </w:pPr>
      <w:r>
        <w:rPr>
          <w:rFonts w:ascii="Times New Roman" w:hAnsi="Times New Roman"/>
          <w:kern w:val="0"/>
          <w:sz w:val="22"/>
          <w:szCs w:val="20"/>
        </w:rPr>
        <w:t>To support the sidelink on unlicensed spectrum, the sidelink channel</w:t>
      </w:r>
      <w:r>
        <w:rPr>
          <w:rFonts w:ascii="Times New Roman" w:hAnsi="Times New Roman" w:hint="eastAsia"/>
          <w:kern w:val="0"/>
          <w:sz w:val="22"/>
          <w:szCs w:val="20"/>
        </w:rPr>
        <w:t>/</w:t>
      </w:r>
      <w:r>
        <w:rPr>
          <w:rFonts w:ascii="Times New Roman" w:hAnsi="Times New Roman"/>
          <w:kern w:val="0"/>
          <w:sz w:val="22"/>
          <w:szCs w:val="20"/>
        </w:rPr>
        <w:t>signal should follow the regulation requirements in [</w:t>
      </w:r>
      <w:r w:rsidR="00BD56E2">
        <w:rPr>
          <w:rFonts w:ascii="Times New Roman" w:hAnsi="Times New Roman"/>
          <w:kern w:val="0"/>
          <w:sz w:val="22"/>
          <w:szCs w:val="20"/>
        </w:rPr>
        <w:t>2</w:t>
      </w:r>
      <w:r>
        <w:rPr>
          <w:rFonts w:ascii="Times New Roman" w:hAnsi="Times New Roman"/>
          <w:kern w:val="0"/>
          <w:sz w:val="22"/>
          <w:szCs w:val="20"/>
        </w:rPr>
        <w:t>].</w:t>
      </w:r>
      <w:r w:rsidR="00BD56E2">
        <w:rPr>
          <w:rFonts w:ascii="Times New Roman" w:hAnsi="Times New Roman"/>
          <w:kern w:val="0"/>
          <w:sz w:val="22"/>
          <w:szCs w:val="20"/>
        </w:rPr>
        <w:t xml:space="preserve"> In details</w:t>
      </w:r>
      <w:r w:rsidR="00CB1F98" w:rsidRPr="00CB1F98">
        <w:rPr>
          <w:rFonts w:ascii="Times New Roman" w:hAnsi="Times New Roman"/>
          <w:kern w:val="0"/>
          <w:sz w:val="22"/>
          <w:szCs w:val="20"/>
        </w:rPr>
        <w:t xml:space="preserve">, the following aspects </w:t>
      </w:r>
      <w:r w:rsidR="0092652E">
        <w:rPr>
          <w:rFonts w:ascii="Times New Roman" w:hAnsi="Times New Roman"/>
          <w:kern w:val="0"/>
          <w:sz w:val="22"/>
          <w:szCs w:val="20"/>
        </w:rPr>
        <w:t xml:space="preserve">on power density </w:t>
      </w:r>
      <w:r w:rsidR="00CB1F98" w:rsidRPr="00CB1F98">
        <w:rPr>
          <w:rFonts w:ascii="Times New Roman" w:hAnsi="Times New Roman"/>
          <w:kern w:val="0"/>
          <w:sz w:val="22"/>
          <w:szCs w:val="20"/>
        </w:rPr>
        <w:t xml:space="preserve">are required by regulation of FR1 unlicensed spectrum, and need to be considered </w:t>
      </w:r>
      <w:r w:rsidR="00BD56E2">
        <w:rPr>
          <w:rFonts w:ascii="Times New Roman" w:hAnsi="Times New Roman"/>
          <w:kern w:val="0"/>
          <w:sz w:val="22"/>
          <w:szCs w:val="20"/>
        </w:rPr>
        <w:t xml:space="preserve">to </w:t>
      </w:r>
      <w:r w:rsidR="00CB1F98" w:rsidRPr="00CB1F98">
        <w:rPr>
          <w:rFonts w:ascii="Times New Roman" w:hAnsi="Times New Roman"/>
          <w:kern w:val="0"/>
          <w:sz w:val="22"/>
          <w:szCs w:val="20"/>
        </w:rPr>
        <w:t xml:space="preserve">support sidelink on unlicensed band: </w:t>
      </w:r>
    </w:p>
    <w:p w14:paraId="0BEC0E99" w14:textId="77777777" w:rsidR="006E76EC" w:rsidRPr="006E76EC" w:rsidRDefault="006E76EC" w:rsidP="006E76EC">
      <w:pPr>
        <w:widowControl/>
        <w:numPr>
          <w:ilvl w:val="0"/>
          <w:numId w:val="22"/>
        </w:numPr>
        <w:autoSpaceDE w:val="0"/>
        <w:autoSpaceDN w:val="0"/>
        <w:adjustRightInd w:val="0"/>
        <w:snapToGrid w:val="0"/>
        <w:spacing w:before="120" w:after="120"/>
        <w:ind w:left="714" w:hanging="357"/>
        <w:rPr>
          <w:rFonts w:ascii="Times New Roman" w:hAnsi="Times New Roman"/>
          <w:kern w:val="0"/>
          <w:sz w:val="22"/>
        </w:rPr>
      </w:pPr>
      <w:r w:rsidRPr="006E76EC">
        <w:rPr>
          <w:rFonts w:ascii="Times New Roman" w:hAnsi="Times New Roman"/>
          <w:kern w:val="0"/>
          <w:sz w:val="22"/>
          <w:u w:val="single"/>
        </w:rPr>
        <w:t>Occupied channel bandwidth (OCB) requirement</w:t>
      </w:r>
      <w:r w:rsidRPr="006E76EC">
        <w:rPr>
          <w:rFonts w:ascii="Times New Roman" w:hAnsi="Times New Roman"/>
          <w:kern w:val="0"/>
          <w:sz w:val="22"/>
        </w:rPr>
        <w:t>: the OCB shall be between 80% and 100% of nominal channel bandwidth (i.e., 20 MHz).</w:t>
      </w:r>
    </w:p>
    <w:p w14:paraId="5D3D65C9" w14:textId="77777777" w:rsidR="006E76EC" w:rsidRDefault="006E76EC" w:rsidP="006E76EC">
      <w:pPr>
        <w:widowControl/>
        <w:numPr>
          <w:ilvl w:val="0"/>
          <w:numId w:val="22"/>
        </w:numPr>
        <w:autoSpaceDE w:val="0"/>
        <w:autoSpaceDN w:val="0"/>
        <w:adjustRightInd w:val="0"/>
        <w:snapToGrid w:val="0"/>
        <w:spacing w:after="120"/>
        <w:rPr>
          <w:rFonts w:ascii="Times New Roman" w:hAnsi="Times New Roman"/>
          <w:kern w:val="0"/>
          <w:sz w:val="22"/>
        </w:rPr>
      </w:pPr>
      <w:r w:rsidRPr="006E76EC">
        <w:rPr>
          <w:rFonts w:ascii="Times New Roman" w:hAnsi="Times New Roman"/>
          <w:kern w:val="0"/>
          <w:sz w:val="22"/>
          <w:u w:val="single"/>
        </w:rPr>
        <w:t>Channel Occupancy Time (COT) requirement</w:t>
      </w:r>
      <w:r w:rsidRPr="006E76EC">
        <w:rPr>
          <w:rFonts w:ascii="Times New Roman" w:hAnsi="Times New Roman"/>
          <w:kern w:val="0"/>
          <w:sz w:val="22"/>
        </w:rPr>
        <w:t xml:space="preserve">: A UE can continuously occupy a channel for a duration, i.e., channel occupancy time (COT), no larger than MCOT (Maximum COT) which depends on channel access priory class (CAPC). </w:t>
      </w:r>
      <w:r w:rsidRPr="006E76EC">
        <w:rPr>
          <w:rFonts w:ascii="Times New Roman" w:hAnsi="Times New Roman" w:hint="eastAsia"/>
          <w:kern w:val="0"/>
          <w:sz w:val="22"/>
        </w:rPr>
        <w:t>T</w:t>
      </w:r>
      <w:r w:rsidRPr="006E76EC">
        <w:rPr>
          <w:rFonts w:ascii="Times New Roman" w:hAnsi="Times New Roman"/>
          <w:kern w:val="0"/>
          <w:sz w:val="22"/>
        </w:rPr>
        <w:t>he gap between two consecutive transmissions within the COT needs to be small, otherwise other UE’s LBT may be successful and access the channel, and cause the current COT on longer available.</w:t>
      </w:r>
    </w:p>
    <w:p w14:paraId="65A0B5C9" w14:textId="1776B09B" w:rsidR="006E76EC" w:rsidRPr="006E76EC" w:rsidRDefault="006E76EC" w:rsidP="006E76EC">
      <w:pPr>
        <w:widowControl/>
        <w:numPr>
          <w:ilvl w:val="0"/>
          <w:numId w:val="22"/>
        </w:numPr>
        <w:autoSpaceDE w:val="0"/>
        <w:autoSpaceDN w:val="0"/>
        <w:adjustRightInd w:val="0"/>
        <w:snapToGrid w:val="0"/>
        <w:spacing w:after="120"/>
        <w:rPr>
          <w:rFonts w:ascii="Times New Roman" w:hAnsi="Times New Roman"/>
          <w:kern w:val="0"/>
          <w:sz w:val="22"/>
        </w:rPr>
      </w:pPr>
      <w:r w:rsidRPr="006E76EC">
        <w:rPr>
          <w:rFonts w:ascii="Times New Roman" w:hAnsi="Times New Roman"/>
          <w:kern w:val="0"/>
          <w:sz w:val="22"/>
          <w:u w:val="single"/>
        </w:rPr>
        <w:t>Listen Before Talk (LBT) requirement</w:t>
      </w:r>
      <w:r w:rsidRPr="006E76EC">
        <w:rPr>
          <w:rFonts w:ascii="Times New Roman" w:hAnsi="Times New Roman"/>
          <w:kern w:val="0"/>
          <w:sz w:val="22"/>
        </w:rPr>
        <w:t>: LBT is performed before any transmission except Short Control Signaling transmission. The sensing duration might be different depending on the LBT types. The sensing slot granularity is 9 us, which is not aligned with sidelink symbol/slot granularity.</w:t>
      </w:r>
    </w:p>
    <w:p w14:paraId="4022F532" w14:textId="79C6E6D6" w:rsidR="00CB1F98" w:rsidRDefault="00CB1F98" w:rsidP="00136CDF">
      <w:pPr>
        <w:snapToGrid w:val="0"/>
        <w:spacing w:before="120" w:after="120"/>
        <w:rPr>
          <w:rFonts w:ascii="Times New Roman" w:hAnsi="Times New Roman"/>
          <w:kern w:val="0"/>
          <w:sz w:val="22"/>
          <w:szCs w:val="20"/>
        </w:rPr>
      </w:pPr>
      <w:r w:rsidRPr="00CB1F98">
        <w:rPr>
          <w:rFonts w:ascii="Times New Roman" w:hAnsi="Times New Roman"/>
          <w:kern w:val="0"/>
          <w:sz w:val="22"/>
          <w:szCs w:val="20"/>
        </w:rPr>
        <w:lastRenderedPageBreak/>
        <w:t>Power spectral density (PSD) requirement. Transmissions on a channel need to satisfy 10 dB</w:t>
      </w:r>
      <w:r w:rsidR="00BC6C4F">
        <w:rPr>
          <w:rFonts w:ascii="Times New Roman" w:hAnsi="Times New Roman"/>
          <w:kern w:val="0"/>
          <w:sz w:val="22"/>
          <w:szCs w:val="20"/>
        </w:rPr>
        <w:t>3</w:t>
      </w:r>
      <w:r w:rsidRPr="00CB1F98">
        <w:rPr>
          <w:rFonts w:ascii="Times New Roman" w:hAnsi="Times New Roman"/>
          <w:kern w:val="0"/>
          <w:sz w:val="22"/>
          <w:szCs w:val="20"/>
        </w:rPr>
        <w:t>m/MHz PSD requirement for FR1 unlicensed band.</w:t>
      </w:r>
    </w:p>
    <w:tbl>
      <w:tblPr>
        <w:tblStyle w:val="aa"/>
        <w:tblW w:w="0" w:type="auto"/>
        <w:tblLook w:val="04A0" w:firstRow="1" w:lastRow="0" w:firstColumn="1" w:lastColumn="0" w:noHBand="0" w:noVBand="1"/>
      </w:tblPr>
      <w:tblGrid>
        <w:gridCol w:w="9736"/>
      </w:tblGrid>
      <w:tr w:rsidR="00FB39BE" w14:paraId="00E8832A" w14:textId="77777777" w:rsidTr="00FB39BE">
        <w:tc>
          <w:tcPr>
            <w:tcW w:w="9736" w:type="dxa"/>
          </w:tcPr>
          <w:p w14:paraId="753D0D32" w14:textId="77777777" w:rsidR="00740E77" w:rsidRDefault="00740E77" w:rsidP="00740E77">
            <w:pPr>
              <w:widowControl/>
              <w:autoSpaceDE w:val="0"/>
              <w:autoSpaceDN w:val="0"/>
              <w:adjustRightInd w:val="0"/>
              <w:jc w:val="left"/>
              <w:rPr>
                <w:rFonts w:ascii="Arial" w:eastAsiaTheme="minorEastAsia" w:hAnsi="Arial" w:cs="Arial"/>
                <w:sz w:val="22"/>
              </w:rPr>
            </w:pPr>
            <w:r>
              <w:rPr>
                <w:rFonts w:ascii="Arial" w:eastAsiaTheme="minorEastAsia" w:hAnsi="Arial" w:cs="Arial"/>
                <w:sz w:val="22"/>
              </w:rPr>
              <w:t>4.2.3.1.3 Power Density</w:t>
            </w:r>
          </w:p>
          <w:p w14:paraId="0964E579" w14:textId="42302BE7" w:rsidR="00740E77" w:rsidRDefault="00740E77" w:rsidP="00740E77">
            <w:pPr>
              <w:snapToGrid w:val="0"/>
              <w:rPr>
                <w:rFonts w:ascii="Times New Roman" w:eastAsiaTheme="minorEastAsia" w:hAnsi="Times New Roman"/>
              </w:rPr>
            </w:pPr>
            <w:r>
              <w:rPr>
                <w:rFonts w:ascii="Times New Roman" w:eastAsiaTheme="minorEastAsia" w:hAnsi="Times New Roman"/>
              </w:rPr>
              <w:t xml:space="preserve">The </w:t>
            </w:r>
            <w:r>
              <w:rPr>
                <w:rFonts w:ascii="Times New Roman" w:eastAsiaTheme="minorEastAsia" w:hAnsi="Times New Roman"/>
                <w:i/>
                <w:iCs/>
              </w:rPr>
              <w:t xml:space="preserve">Power Density </w:t>
            </w:r>
            <w:r>
              <w:rPr>
                <w:rFonts w:ascii="Times New Roman" w:eastAsiaTheme="minorEastAsia" w:hAnsi="Times New Roman"/>
              </w:rPr>
              <w:t>is the mean equivalent isotropically radiated power (e.i.r.p.) density during a transmission burst.</w:t>
            </w:r>
          </w:p>
          <w:p w14:paraId="5E0DAAB7" w14:textId="4C45CBC0" w:rsidR="00C56308" w:rsidRDefault="00C56308" w:rsidP="00740E77">
            <w:pPr>
              <w:snapToGrid w:val="0"/>
              <w:rPr>
                <w:rFonts w:ascii="Arial" w:eastAsiaTheme="minorEastAsia" w:hAnsi="Arial" w:cs="Arial"/>
                <w:sz w:val="22"/>
              </w:rPr>
            </w:pPr>
            <w:r>
              <w:rPr>
                <w:rFonts w:ascii="Arial" w:eastAsiaTheme="minorEastAsia" w:hAnsi="Arial" w:cs="Arial"/>
                <w:sz w:val="22"/>
              </w:rPr>
              <w:t>4.2.3.2.2 Limits for RF output power and Power Density at the highest power level</w:t>
            </w:r>
          </w:p>
          <w:p w14:paraId="249E2612" w14:textId="6784F0C9" w:rsidR="00C56308" w:rsidRDefault="00C56308" w:rsidP="00740E77">
            <w:pPr>
              <w:snapToGrid w:val="0"/>
              <w:rPr>
                <w:rFonts w:ascii="Arial" w:eastAsiaTheme="minorEastAsia" w:hAnsi="Arial" w:cs="Arial"/>
                <w:sz w:val="22"/>
              </w:rPr>
            </w:pPr>
            <w:r>
              <w:rPr>
                <w:rFonts w:ascii="Arial" w:eastAsiaTheme="minorEastAsia" w:hAnsi="Arial" w:cs="Arial"/>
                <w:sz w:val="22"/>
              </w:rPr>
              <w:t>…</w:t>
            </w:r>
          </w:p>
          <w:p w14:paraId="65D37B7B" w14:textId="5235BB30" w:rsidR="00C56308" w:rsidRPr="00C56308" w:rsidRDefault="00C56308" w:rsidP="00C56308">
            <w:pPr>
              <w:widowControl/>
              <w:autoSpaceDE w:val="0"/>
              <w:autoSpaceDN w:val="0"/>
              <w:adjustRightInd w:val="0"/>
              <w:jc w:val="left"/>
              <w:rPr>
                <w:rFonts w:ascii="Times New Roman" w:eastAsiaTheme="minorEastAsia" w:hAnsi="Times New Roman"/>
              </w:rPr>
            </w:pPr>
            <w:r>
              <w:rPr>
                <w:rFonts w:ascii="Times New Roman" w:eastAsiaTheme="minorEastAsia" w:hAnsi="Times New Roman"/>
              </w:rPr>
              <w:t>For devices with TPC, the RF output power and the Power Density when configured to operate at the highest stated power level (P</w:t>
            </w:r>
            <w:r>
              <w:rPr>
                <w:rFonts w:ascii="Times New Roman" w:eastAsiaTheme="minorEastAsia" w:hAnsi="Times New Roman"/>
                <w:sz w:val="13"/>
                <w:szCs w:val="13"/>
              </w:rPr>
              <w:t>H</w:t>
            </w:r>
            <w:r>
              <w:rPr>
                <w:rFonts w:ascii="Times New Roman" w:eastAsiaTheme="minorEastAsia" w:hAnsi="Times New Roman"/>
              </w:rPr>
              <w:t>) of the TPC range shall not exceed the levels given in table 2.</w:t>
            </w:r>
          </w:p>
          <w:p w14:paraId="72164C5F" w14:textId="22139F50" w:rsidR="00C56308" w:rsidRDefault="00C56308" w:rsidP="00740E77">
            <w:pPr>
              <w:snapToGrid w:val="0"/>
              <w:rPr>
                <w:rFonts w:ascii="Arial" w:eastAsiaTheme="minorEastAsia" w:hAnsi="Arial" w:cs="Arial"/>
                <w:sz w:val="22"/>
              </w:rPr>
            </w:pPr>
            <w:r>
              <w:rPr>
                <w:rFonts w:ascii="Arial" w:eastAsiaTheme="minorEastAsia" w:hAnsi="Arial" w:cs="Arial"/>
                <w:b/>
                <w:bCs/>
              </w:rPr>
              <w:t>Table 2: Mean e.i.r.p. limits for RF output power and Power Density at the highest power level (P</w:t>
            </w:r>
            <w:r>
              <w:rPr>
                <w:rFonts w:ascii="Arial" w:eastAsiaTheme="minorEastAsia" w:hAnsi="Arial" w:cs="Arial"/>
                <w:b/>
                <w:bCs/>
                <w:sz w:val="16"/>
                <w:szCs w:val="16"/>
              </w:rPr>
              <w:t>H</w:t>
            </w:r>
            <w:r>
              <w:rPr>
                <w:rFonts w:ascii="Arial" w:eastAsiaTheme="minorEastAsia" w:hAnsi="Arial" w:cs="Arial"/>
                <w:b/>
                <w:bCs/>
              </w:rPr>
              <w:t>)</w:t>
            </w:r>
          </w:p>
          <w:tbl>
            <w:tblPr>
              <w:tblStyle w:val="aa"/>
              <w:tblW w:w="0" w:type="auto"/>
              <w:tblLook w:val="04A0" w:firstRow="1" w:lastRow="0" w:firstColumn="1" w:lastColumn="0" w:noHBand="0" w:noVBand="1"/>
            </w:tblPr>
            <w:tblGrid>
              <w:gridCol w:w="1902"/>
              <w:gridCol w:w="1902"/>
              <w:gridCol w:w="1902"/>
              <w:gridCol w:w="1902"/>
              <w:gridCol w:w="1902"/>
            </w:tblGrid>
            <w:tr w:rsidR="00C56308" w14:paraId="33F3525F" w14:textId="77777777" w:rsidTr="000E580F">
              <w:tc>
                <w:tcPr>
                  <w:tcW w:w="1902" w:type="dxa"/>
                  <w:vMerge w:val="restart"/>
                </w:tcPr>
                <w:p w14:paraId="72754106" w14:textId="77777777" w:rsidR="00C56308" w:rsidRDefault="00C56308" w:rsidP="005E30E1">
                  <w:pPr>
                    <w:widowControl/>
                    <w:autoSpaceDE w:val="0"/>
                    <w:autoSpaceDN w:val="0"/>
                    <w:adjustRightInd w:val="0"/>
                    <w:snapToGrid w:val="0"/>
                    <w:spacing w:before="0" w:line="100" w:lineRule="atLeast"/>
                    <w:jc w:val="center"/>
                    <w:rPr>
                      <w:rFonts w:ascii="Arial" w:eastAsiaTheme="minorEastAsia" w:hAnsi="Arial" w:cs="Arial"/>
                      <w:b/>
                      <w:bCs/>
                      <w:sz w:val="18"/>
                      <w:szCs w:val="18"/>
                    </w:rPr>
                  </w:pPr>
                  <w:r>
                    <w:rPr>
                      <w:rFonts w:ascii="Arial" w:eastAsiaTheme="minorEastAsia" w:hAnsi="Arial" w:cs="Arial"/>
                      <w:b/>
                      <w:bCs/>
                      <w:sz w:val="18"/>
                      <w:szCs w:val="18"/>
                    </w:rPr>
                    <w:t>Frequency</w:t>
                  </w:r>
                </w:p>
                <w:p w14:paraId="174C8961" w14:textId="77777777" w:rsidR="00C56308" w:rsidRDefault="00C56308" w:rsidP="005E30E1">
                  <w:pPr>
                    <w:widowControl/>
                    <w:autoSpaceDE w:val="0"/>
                    <w:autoSpaceDN w:val="0"/>
                    <w:adjustRightInd w:val="0"/>
                    <w:snapToGrid w:val="0"/>
                    <w:spacing w:before="0" w:line="100" w:lineRule="atLeast"/>
                    <w:jc w:val="center"/>
                    <w:rPr>
                      <w:rFonts w:ascii="Arial" w:eastAsiaTheme="minorEastAsia" w:hAnsi="Arial" w:cs="Arial"/>
                      <w:b/>
                      <w:bCs/>
                      <w:sz w:val="18"/>
                      <w:szCs w:val="18"/>
                    </w:rPr>
                  </w:pPr>
                  <w:r>
                    <w:rPr>
                      <w:rFonts w:ascii="Arial" w:eastAsiaTheme="minorEastAsia" w:hAnsi="Arial" w:cs="Arial"/>
                      <w:b/>
                      <w:bCs/>
                      <w:sz w:val="18"/>
                      <w:szCs w:val="18"/>
                    </w:rPr>
                    <w:t>range</w:t>
                  </w:r>
                </w:p>
                <w:p w14:paraId="5137CD52" w14:textId="6E3F0E00" w:rsidR="00C56308" w:rsidRDefault="00C56308" w:rsidP="005E30E1">
                  <w:pPr>
                    <w:snapToGrid w:val="0"/>
                    <w:spacing w:before="0" w:line="100" w:lineRule="atLeast"/>
                    <w:jc w:val="center"/>
                    <w:rPr>
                      <w:rFonts w:ascii="Times New Roman" w:hAnsi="Times New Roman"/>
                      <w:b/>
                      <w:sz w:val="22"/>
                    </w:rPr>
                  </w:pPr>
                  <w:r>
                    <w:rPr>
                      <w:rFonts w:ascii="Arial" w:eastAsiaTheme="minorEastAsia" w:hAnsi="Arial" w:cs="Arial"/>
                      <w:b/>
                      <w:bCs/>
                      <w:sz w:val="18"/>
                      <w:szCs w:val="18"/>
                    </w:rPr>
                    <w:t>(MHz)</w:t>
                  </w:r>
                </w:p>
              </w:tc>
              <w:tc>
                <w:tcPr>
                  <w:tcW w:w="3804" w:type="dxa"/>
                  <w:gridSpan w:val="2"/>
                </w:tcPr>
                <w:p w14:paraId="54211BA0" w14:textId="77777777" w:rsidR="005E30E1" w:rsidRDefault="005E30E1" w:rsidP="005E30E1">
                  <w:pPr>
                    <w:widowControl/>
                    <w:autoSpaceDE w:val="0"/>
                    <w:autoSpaceDN w:val="0"/>
                    <w:adjustRightInd w:val="0"/>
                    <w:snapToGrid w:val="0"/>
                    <w:spacing w:before="0" w:line="100" w:lineRule="atLeast"/>
                    <w:jc w:val="center"/>
                    <w:rPr>
                      <w:rFonts w:ascii="Arial" w:eastAsiaTheme="minorEastAsia" w:hAnsi="Arial" w:cs="Arial"/>
                      <w:b/>
                      <w:bCs/>
                      <w:sz w:val="14"/>
                      <w:szCs w:val="14"/>
                    </w:rPr>
                  </w:pPr>
                  <w:r>
                    <w:rPr>
                      <w:rFonts w:ascii="Arial" w:eastAsiaTheme="minorEastAsia" w:hAnsi="Arial" w:cs="Arial"/>
                      <w:b/>
                      <w:bCs/>
                      <w:sz w:val="18"/>
                      <w:szCs w:val="18"/>
                    </w:rPr>
                    <w:t>Mean e.i.r.p. limit for P</w:t>
                  </w:r>
                  <w:r>
                    <w:rPr>
                      <w:rFonts w:ascii="Arial" w:eastAsiaTheme="minorEastAsia" w:hAnsi="Arial" w:cs="Arial"/>
                      <w:b/>
                      <w:bCs/>
                      <w:sz w:val="14"/>
                      <w:szCs w:val="14"/>
                    </w:rPr>
                    <w:t>H</w:t>
                  </w:r>
                </w:p>
                <w:p w14:paraId="17F805CB" w14:textId="152DA4FD" w:rsidR="00C56308" w:rsidRDefault="005E30E1" w:rsidP="005E30E1">
                  <w:pPr>
                    <w:snapToGrid w:val="0"/>
                    <w:spacing w:before="0" w:line="100" w:lineRule="atLeast"/>
                    <w:jc w:val="center"/>
                    <w:rPr>
                      <w:rFonts w:ascii="Times New Roman" w:hAnsi="Times New Roman"/>
                      <w:b/>
                      <w:sz w:val="22"/>
                    </w:rPr>
                  </w:pPr>
                  <w:r>
                    <w:rPr>
                      <w:rFonts w:ascii="Arial" w:eastAsiaTheme="minorEastAsia" w:hAnsi="Arial" w:cs="Arial"/>
                      <w:b/>
                      <w:bCs/>
                      <w:sz w:val="18"/>
                      <w:szCs w:val="18"/>
                    </w:rPr>
                    <w:t>(dBm)</w:t>
                  </w:r>
                </w:p>
              </w:tc>
              <w:tc>
                <w:tcPr>
                  <w:tcW w:w="3804" w:type="dxa"/>
                  <w:gridSpan w:val="2"/>
                </w:tcPr>
                <w:p w14:paraId="2122E177" w14:textId="77777777" w:rsidR="005E30E1" w:rsidRDefault="005E30E1" w:rsidP="005E30E1">
                  <w:pPr>
                    <w:widowControl/>
                    <w:autoSpaceDE w:val="0"/>
                    <w:autoSpaceDN w:val="0"/>
                    <w:adjustRightInd w:val="0"/>
                    <w:snapToGrid w:val="0"/>
                    <w:spacing w:before="0" w:line="100" w:lineRule="atLeast"/>
                    <w:jc w:val="center"/>
                    <w:rPr>
                      <w:rFonts w:ascii="Arial" w:eastAsiaTheme="minorEastAsia" w:hAnsi="Arial" w:cs="Arial"/>
                      <w:b/>
                      <w:bCs/>
                      <w:sz w:val="18"/>
                      <w:szCs w:val="18"/>
                    </w:rPr>
                  </w:pPr>
                  <w:r>
                    <w:rPr>
                      <w:rFonts w:ascii="Arial" w:eastAsiaTheme="minorEastAsia" w:hAnsi="Arial" w:cs="Arial"/>
                      <w:b/>
                      <w:bCs/>
                      <w:sz w:val="18"/>
                      <w:szCs w:val="18"/>
                    </w:rPr>
                    <w:t>Mean e.i.r.p. density limit</w:t>
                  </w:r>
                </w:p>
                <w:p w14:paraId="0AA696C9" w14:textId="52305032" w:rsidR="00C56308" w:rsidRDefault="005E30E1" w:rsidP="005E30E1">
                  <w:pPr>
                    <w:snapToGrid w:val="0"/>
                    <w:spacing w:before="0" w:line="100" w:lineRule="atLeast"/>
                    <w:jc w:val="center"/>
                    <w:rPr>
                      <w:rFonts w:ascii="Times New Roman" w:hAnsi="Times New Roman"/>
                      <w:b/>
                      <w:sz w:val="22"/>
                    </w:rPr>
                  </w:pPr>
                  <w:r>
                    <w:rPr>
                      <w:rFonts w:ascii="Arial" w:eastAsiaTheme="minorEastAsia" w:hAnsi="Arial" w:cs="Arial"/>
                      <w:b/>
                      <w:bCs/>
                      <w:sz w:val="18"/>
                      <w:szCs w:val="18"/>
                    </w:rPr>
                    <w:t>(dBm/MHz)</w:t>
                  </w:r>
                </w:p>
              </w:tc>
            </w:tr>
            <w:tr w:rsidR="00C56308" w14:paraId="7AFED882" w14:textId="77777777" w:rsidTr="00C56308">
              <w:tc>
                <w:tcPr>
                  <w:tcW w:w="1902" w:type="dxa"/>
                  <w:vMerge/>
                </w:tcPr>
                <w:p w14:paraId="18ABC694" w14:textId="77777777" w:rsidR="00C56308" w:rsidRDefault="00C56308" w:rsidP="00C56308">
                  <w:pPr>
                    <w:snapToGrid w:val="0"/>
                    <w:rPr>
                      <w:rFonts w:ascii="Times New Roman" w:hAnsi="Times New Roman"/>
                      <w:b/>
                      <w:sz w:val="22"/>
                    </w:rPr>
                  </w:pPr>
                </w:p>
              </w:tc>
              <w:tc>
                <w:tcPr>
                  <w:tcW w:w="1902" w:type="dxa"/>
                </w:tcPr>
                <w:p w14:paraId="10EDDADC" w14:textId="175BB9BB" w:rsidR="00C56308" w:rsidRDefault="00C56308" w:rsidP="005E30E1">
                  <w:pPr>
                    <w:snapToGrid w:val="0"/>
                    <w:jc w:val="center"/>
                    <w:rPr>
                      <w:rFonts w:ascii="Times New Roman" w:hAnsi="Times New Roman"/>
                      <w:b/>
                      <w:sz w:val="22"/>
                    </w:rPr>
                  </w:pPr>
                  <w:r>
                    <w:rPr>
                      <w:rFonts w:ascii="Arial" w:eastAsiaTheme="minorEastAsia" w:hAnsi="Arial" w:cs="Arial"/>
                      <w:b/>
                      <w:bCs/>
                      <w:sz w:val="18"/>
                      <w:szCs w:val="18"/>
                    </w:rPr>
                    <w:t>with TPC</w:t>
                  </w:r>
                </w:p>
              </w:tc>
              <w:tc>
                <w:tcPr>
                  <w:tcW w:w="1902" w:type="dxa"/>
                </w:tcPr>
                <w:p w14:paraId="0FF1DB27" w14:textId="19338C9D" w:rsidR="00C56308" w:rsidRDefault="00C56308" w:rsidP="005E30E1">
                  <w:pPr>
                    <w:snapToGrid w:val="0"/>
                    <w:jc w:val="center"/>
                    <w:rPr>
                      <w:rFonts w:ascii="Times New Roman" w:hAnsi="Times New Roman"/>
                      <w:b/>
                      <w:sz w:val="22"/>
                    </w:rPr>
                  </w:pPr>
                  <w:r>
                    <w:rPr>
                      <w:rFonts w:ascii="Arial" w:eastAsiaTheme="minorEastAsia" w:hAnsi="Arial" w:cs="Arial"/>
                      <w:b/>
                      <w:bCs/>
                      <w:sz w:val="18"/>
                      <w:szCs w:val="18"/>
                    </w:rPr>
                    <w:t>without TPC</w:t>
                  </w:r>
                </w:p>
              </w:tc>
              <w:tc>
                <w:tcPr>
                  <w:tcW w:w="1902" w:type="dxa"/>
                </w:tcPr>
                <w:p w14:paraId="4C71279B" w14:textId="42C9303E" w:rsidR="00C56308" w:rsidRDefault="00C56308" w:rsidP="005E30E1">
                  <w:pPr>
                    <w:snapToGrid w:val="0"/>
                    <w:jc w:val="center"/>
                    <w:rPr>
                      <w:rFonts w:ascii="Times New Roman" w:hAnsi="Times New Roman"/>
                      <w:b/>
                      <w:sz w:val="22"/>
                    </w:rPr>
                  </w:pPr>
                  <w:r>
                    <w:rPr>
                      <w:rFonts w:ascii="Arial" w:eastAsiaTheme="minorEastAsia" w:hAnsi="Arial" w:cs="Arial"/>
                      <w:b/>
                      <w:bCs/>
                      <w:sz w:val="18"/>
                      <w:szCs w:val="18"/>
                    </w:rPr>
                    <w:t>with TPC</w:t>
                  </w:r>
                </w:p>
              </w:tc>
              <w:tc>
                <w:tcPr>
                  <w:tcW w:w="1902" w:type="dxa"/>
                </w:tcPr>
                <w:p w14:paraId="2C09473E" w14:textId="3B4C951D" w:rsidR="00C56308" w:rsidRDefault="00C56308" w:rsidP="005E30E1">
                  <w:pPr>
                    <w:snapToGrid w:val="0"/>
                    <w:jc w:val="center"/>
                    <w:rPr>
                      <w:rFonts w:ascii="Times New Roman" w:hAnsi="Times New Roman"/>
                      <w:b/>
                      <w:sz w:val="22"/>
                    </w:rPr>
                  </w:pPr>
                  <w:r>
                    <w:rPr>
                      <w:rFonts w:ascii="Arial" w:eastAsiaTheme="minorEastAsia" w:hAnsi="Arial" w:cs="Arial"/>
                      <w:b/>
                      <w:bCs/>
                      <w:sz w:val="18"/>
                      <w:szCs w:val="18"/>
                    </w:rPr>
                    <w:t>without TPC</w:t>
                  </w:r>
                </w:p>
              </w:tc>
            </w:tr>
            <w:tr w:rsidR="00C56308" w14:paraId="2B6CE0BD" w14:textId="77777777" w:rsidTr="00C56308">
              <w:tc>
                <w:tcPr>
                  <w:tcW w:w="1902" w:type="dxa"/>
                </w:tcPr>
                <w:p w14:paraId="1DC4DBE7" w14:textId="486A382B" w:rsidR="00C56308" w:rsidRDefault="00C56308" w:rsidP="005E30E1">
                  <w:pPr>
                    <w:snapToGrid w:val="0"/>
                    <w:spacing w:before="0" w:line="100" w:lineRule="atLeast"/>
                    <w:jc w:val="center"/>
                    <w:rPr>
                      <w:rFonts w:ascii="Times New Roman" w:hAnsi="Times New Roman"/>
                      <w:b/>
                      <w:sz w:val="22"/>
                    </w:rPr>
                  </w:pPr>
                  <w:r>
                    <w:rPr>
                      <w:rFonts w:ascii="Arial" w:eastAsiaTheme="minorEastAsia" w:hAnsi="Arial" w:cs="Arial"/>
                      <w:sz w:val="18"/>
                      <w:szCs w:val="18"/>
                    </w:rPr>
                    <w:t>5 150 to 5 350</w:t>
                  </w:r>
                </w:p>
              </w:tc>
              <w:tc>
                <w:tcPr>
                  <w:tcW w:w="1902" w:type="dxa"/>
                </w:tcPr>
                <w:p w14:paraId="2434FD51" w14:textId="5BEEFAD7" w:rsidR="00C56308" w:rsidRDefault="00C56308" w:rsidP="005E30E1">
                  <w:pPr>
                    <w:snapToGrid w:val="0"/>
                    <w:spacing w:before="0" w:line="100" w:lineRule="atLeast"/>
                    <w:jc w:val="center"/>
                    <w:rPr>
                      <w:rFonts w:ascii="Times New Roman" w:hAnsi="Times New Roman"/>
                      <w:b/>
                      <w:sz w:val="22"/>
                    </w:rPr>
                  </w:pPr>
                  <w:r>
                    <w:rPr>
                      <w:rFonts w:ascii="Arial" w:eastAsiaTheme="minorEastAsia" w:hAnsi="Arial" w:cs="Arial"/>
                      <w:sz w:val="18"/>
                      <w:szCs w:val="18"/>
                    </w:rPr>
                    <w:t>23</w:t>
                  </w:r>
                </w:p>
              </w:tc>
              <w:tc>
                <w:tcPr>
                  <w:tcW w:w="1902" w:type="dxa"/>
                </w:tcPr>
                <w:p w14:paraId="1FE6E272" w14:textId="079844C0" w:rsidR="00C56308" w:rsidRDefault="00C56308" w:rsidP="005E30E1">
                  <w:pPr>
                    <w:snapToGrid w:val="0"/>
                    <w:spacing w:before="0" w:line="100" w:lineRule="atLeast"/>
                    <w:jc w:val="center"/>
                    <w:rPr>
                      <w:rFonts w:ascii="Times New Roman" w:hAnsi="Times New Roman"/>
                      <w:b/>
                      <w:sz w:val="22"/>
                    </w:rPr>
                  </w:pPr>
                  <w:r>
                    <w:rPr>
                      <w:rFonts w:ascii="Arial" w:eastAsiaTheme="minorEastAsia" w:hAnsi="Arial" w:cs="Arial"/>
                      <w:sz w:val="18"/>
                      <w:szCs w:val="18"/>
                    </w:rPr>
                    <w:t>20/23 (see note 1)</w:t>
                  </w:r>
                </w:p>
              </w:tc>
              <w:tc>
                <w:tcPr>
                  <w:tcW w:w="1902" w:type="dxa"/>
                </w:tcPr>
                <w:p w14:paraId="7789F6F8" w14:textId="5CEAFDEA" w:rsidR="00C56308" w:rsidRDefault="00C56308" w:rsidP="005E30E1">
                  <w:pPr>
                    <w:snapToGrid w:val="0"/>
                    <w:spacing w:before="0" w:line="100" w:lineRule="atLeast"/>
                    <w:jc w:val="center"/>
                    <w:rPr>
                      <w:rFonts w:ascii="Times New Roman" w:hAnsi="Times New Roman"/>
                      <w:b/>
                      <w:sz w:val="22"/>
                    </w:rPr>
                  </w:pPr>
                  <w:r w:rsidRPr="005E30E1">
                    <w:rPr>
                      <w:rFonts w:ascii="Arial" w:eastAsiaTheme="minorEastAsia" w:hAnsi="Arial" w:cs="Arial"/>
                      <w:sz w:val="18"/>
                      <w:szCs w:val="18"/>
                      <w:highlight w:val="yellow"/>
                    </w:rPr>
                    <w:t>10</w:t>
                  </w:r>
                </w:p>
              </w:tc>
              <w:tc>
                <w:tcPr>
                  <w:tcW w:w="1902" w:type="dxa"/>
                </w:tcPr>
                <w:p w14:paraId="02D473D8" w14:textId="512A08FF" w:rsidR="00C56308" w:rsidRDefault="00C56308" w:rsidP="005E30E1">
                  <w:pPr>
                    <w:snapToGrid w:val="0"/>
                    <w:spacing w:before="0" w:line="100" w:lineRule="atLeast"/>
                    <w:jc w:val="center"/>
                    <w:rPr>
                      <w:rFonts w:ascii="Times New Roman" w:hAnsi="Times New Roman"/>
                      <w:b/>
                      <w:sz w:val="22"/>
                    </w:rPr>
                  </w:pPr>
                  <w:r>
                    <w:rPr>
                      <w:rFonts w:ascii="Arial" w:eastAsiaTheme="minorEastAsia" w:hAnsi="Arial" w:cs="Arial"/>
                      <w:sz w:val="18"/>
                      <w:szCs w:val="18"/>
                    </w:rPr>
                    <w:t>7/10 (see note 2)</w:t>
                  </w:r>
                </w:p>
              </w:tc>
            </w:tr>
            <w:tr w:rsidR="00C56308" w14:paraId="5AC32E39" w14:textId="77777777" w:rsidTr="00C56308">
              <w:tc>
                <w:tcPr>
                  <w:tcW w:w="1902" w:type="dxa"/>
                </w:tcPr>
                <w:p w14:paraId="0AF68024" w14:textId="5B1DCD44" w:rsidR="00C56308" w:rsidRDefault="00C56308" w:rsidP="005E30E1">
                  <w:pPr>
                    <w:snapToGrid w:val="0"/>
                    <w:spacing w:before="0" w:line="100" w:lineRule="atLeast"/>
                    <w:jc w:val="center"/>
                    <w:rPr>
                      <w:rFonts w:ascii="Times New Roman" w:hAnsi="Times New Roman"/>
                      <w:b/>
                      <w:sz w:val="22"/>
                    </w:rPr>
                  </w:pPr>
                  <w:r>
                    <w:rPr>
                      <w:rFonts w:ascii="Arial" w:eastAsiaTheme="minorEastAsia" w:hAnsi="Arial" w:cs="Arial"/>
                      <w:sz w:val="18"/>
                      <w:szCs w:val="18"/>
                    </w:rPr>
                    <w:t>5 470 to 5 725</w:t>
                  </w:r>
                </w:p>
              </w:tc>
              <w:tc>
                <w:tcPr>
                  <w:tcW w:w="1902" w:type="dxa"/>
                </w:tcPr>
                <w:p w14:paraId="2D9EA884" w14:textId="4E9B08F7" w:rsidR="00C56308" w:rsidRDefault="00C56308" w:rsidP="005E30E1">
                  <w:pPr>
                    <w:snapToGrid w:val="0"/>
                    <w:spacing w:before="0" w:line="100" w:lineRule="atLeast"/>
                    <w:jc w:val="center"/>
                    <w:rPr>
                      <w:rFonts w:ascii="Times New Roman" w:hAnsi="Times New Roman"/>
                      <w:b/>
                      <w:sz w:val="22"/>
                    </w:rPr>
                  </w:pPr>
                  <w:r>
                    <w:rPr>
                      <w:rFonts w:ascii="Arial" w:eastAsiaTheme="minorEastAsia" w:hAnsi="Arial" w:cs="Arial"/>
                      <w:sz w:val="18"/>
                      <w:szCs w:val="18"/>
                    </w:rPr>
                    <w:t>30 (see note 3)</w:t>
                  </w:r>
                </w:p>
              </w:tc>
              <w:tc>
                <w:tcPr>
                  <w:tcW w:w="1902" w:type="dxa"/>
                </w:tcPr>
                <w:p w14:paraId="3AB395B6" w14:textId="3CFDA5D5" w:rsidR="00C56308" w:rsidRDefault="00C56308" w:rsidP="005E30E1">
                  <w:pPr>
                    <w:snapToGrid w:val="0"/>
                    <w:spacing w:before="0" w:line="100" w:lineRule="atLeast"/>
                    <w:jc w:val="center"/>
                    <w:rPr>
                      <w:rFonts w:ascii="Times New Roman" w:hAnsi="Times New Roman"/>
                      <w:b/>
                      <w:sz w:val="22"/>
                    </w:rPr>
                  </w:pPr>
                  <w:r>
                    <w:rPr>
                      <w:rFonts w:ascii="Arial" w:eastAsiaTheme="minorEastAsia" w:hAnsi="Arial" w:cs="Arial"/>
                      <w:sz w:val="18"/>
                      <w:szCs w:val="18"/>
                    </w:rPr>
                    <w:t>27 (see note 3)</w:t>
                  </w:r>
                </w:p>
              </w:tc>
              <w:tc>
                <w:tcPr>
                  <w:tcW w:w="1902" w:type="dxa"/>
                </w:tcPr>
                <w:p w14:paraId="16834515" w14:textId="4D1C1929" w:rsidR="00C56308" w:rsidRDefault="00C56308" w:rsidP="005E30E1">
                  <w:pPr>
                    <w:snapToGrid w:val="0"/>
                    <w:spacing w:before="0" w:line="100" w:lineRule="atLeast"/>
                    <w:jc w:val="center"/>
                    <w:rPr>
                      <w:rFonts w:ascii="Times New Roman" w:hAnsi="Times New Roman"/>
                      <w:b/>
                      <w:sz w:val="22"/>
                    </w:rPr>
                  </w:pPr>
                  <w:r>
                    <w:rPr>
                      <w:rFonts w:ascii="Arial" w:eastAsiaTheme="minorEastAsia" w:hAnsi="Arial" w:cs="Arial"/>
                      <w:sz w:val="18"/>
                      <w:szCs w:val="18"/>
                    </w:rPr>
                    <w:t>17 (see note 3)</w:t>
                  </w:r>
                </w:p>
              </w:tc>
              <w:tc>
                <w:tcPr>
                  <w:tcW w:w="1902" w:type="dxa"/>
                </w:tcPr>
                <w:p w14:paraId="44FDE190" w14:textId="355E8CEA" w:rsidR="00C56308" w:rsidRDefault="00C56308" w:rsidP="005E30E1">
                  <w:pPr>
                    <w:snapToGrid w:val="0"/>
                    <w:spacing w:before="0" w:line="100" w:lineRule="atLeast"/>
                    <w:jc w:val="center"/>
                    <w:rPr>
                      <w:rFonts w:ascii="Times New Roman" w:hAnsi="Times New Roman"/>
                      <w:b/>
                      <w:sz w:val="22"/>
                    </w:rPr>
                  </w:pPr>
                  <w:r>
                    <w:rPr>
                      <w:rFonts w:ascii="Arial" w:eastAsiaTheme="minorEastAsia" w:hAnsi="Arial" w:cs="Arial"/>
                      <w:sz w:val="18"/>
                      <w:szCs w:val="18"/>
                    </w:rPr>
                    <w:t>14 (see note 3)</w:t>
                  </w:r>
                </w:p>
              </w:tc>
            </w:tr>
            <w:tr w:rsidR="00C56308" w14:paraId="5187CC64" w14:textId="77777777" w:rsidTr="000F3426">
              <w:tc>
                <w:tcPr>
                  <w:tcW w:w="9510" w:type="dxa"/>
                  <w:gridSpan w:val="5"/>
                </w:tcPr>
                <w:p w14:paraId="220AC7CE" w14:textId="24294CDF" w:rsidR="00C56308" w:rsidRDefault="00C56308" w:rsidP="00C56308">
                  <w:pPr>
                    <w:widowControl/>
                    <w:autoSpaceDE w:val="0"/>
                    <w:autoSpaceDN w:val="0"/>
                    <w:adjustRightInd w:val="0"/>
                    <w:snapToGrid w:val="0"/>
                    <w:spacing w:before="0" w:line="120" w:lineRule="atLeast"/>
                    <w:ind w:left="737" w:hanging="737"/>
                    <w:jc w:val="left"/>
                    <w:rPr>
                      <w:rFonts w:ascii="Arial" w:eastAsiaTheme="minorEastAsia" w:hAnsi="Arial" w:cs="Arial"/>
                      <w:sz w:val="18"/>
                      <w:szCs w:val="18"/>
                    </w:rPr>
                  </w:pPr>
                  <w:r>
                    <w:rPr>
                      <w:rFonts w:ascii="Arial" w:eastAsiaTheme="minorEastAsia" w:hAnsi="Arial" w:cs="Arial"/>
                      <w:sz w:val="18"/>
                      <w:szCs w:val="18"/>
                    </w:rPr>
                    <w:t>NOTE 1: The applicable limit is 20 dBm, except for transmissions whose nominal bandwidth falls completely within the band 5 150 MHz to 5 250 MHz, in which case the applicable limit is 23 dBm.</w:t>
                  </w:r>
                </w:p>
                <w:p w14:paraId="768BF0E2" w14:textId="087D8170" w:rsidR="00C56308" w:rsidRDefault="00C56308" w:rsidP="00C56308">
                  <w:pPr>
                    <w:widowControl/>
                    <w:autoSpaceDE w:val="0"/>
                    <w:autoSpaceDN w:val="0"/>
                    <w:adjustRightInd w:val="0"/>
                    <w:snapToGrid w:val="0"/>
                    <w:spacing w:before="0" w:line="120" w:lineRule="atLeast"/>
                    <w:ind w:left="737" w:hanging="737"/>
                    <w:jc w:val="left"/>
                    <w:rPr>
                      <w:rFonts w:ascii="Arial" w:eastAsiaTheme="minorEastAsia" w:hAnsi="Arial" w:cs="Arial"/>
                      <w:sz w:val="18"/>
                      <w:szCs w:val="18"/>
                    </w:rPr>
                  </w:pPr>
                  <w:r>
                    <w:rPr>
                      <w:rFonts w:ascii="Arial" w:eastAsiaTheme="minorEastAsia" w:hAnsi="Arial" w:cs="Arial"/>
                      <w:sz w:val="18"/>
                      <w:szCs w:val="18"/>
                    </w:rPr>
                    <w:t>NOTE 2: The applicable limit is 7 dBm/MHz, except for transmissions whose nominal bandwidth falls completely within the band 5 150 MHz to 5 250 MHz, in which case the applicable limit is 10 dBm/MHz.</w:t>
                  </w:r>
                </w:p>
                <w:p w14:paraId="0B9E4348" w14:textId="52595F8C" w:rsidR="00C56308" w:rsidRPr="00C56308" w:rsidRDefault="00C56308" w:rsidP="00C56308">
                  <w:pPr>
                    <w:snapToGrid w:val="0"/>
                    <w:spacing w:before="0" w:line="120" w:lineRule="atLeast"/>
                    <w:ind w:left="737" w:hanging="737"/>
                    <w:rPr>
                      <w:rFonts w:ascii="Times New Roman" w:hAnsi="Times New Roman"/>
                      <w:b/>
                      <w:sz w:val="22"/>
                    </w:rPr>
                  </w:pPr>
                  <w:r>
                    <w:rPr>
                      <w:rFonts w:ascii="Arial" w:eastAsiaTheme="minorEastAsia" w:hAnsi="Arial" w:cs="Arial"/>
                      <w:sz w:val="18"/>
                      <w:szCs w:val="18"/>
                    </w:rPr>
                    <w:t xml:space="preserve">NOTE 3: Slave devices without a </w:t>
                  </w:r>
                  <w:r>
                    <w:rPr>
                      <w:rFonts w:ascii="Arial" w:eastAsiaTheme="minorEastAsia" w:hAnsi="Arial" w:cs="Arial"/>
                      <w:i/>
                      <w:iCs/>
                      <w:sz w:val="18"/>
                      <w:szCs w:val="18"/>
                    </w:rPr>
                    <w:t xml:space="preserve">Radar Interference Detection </w:t>
                  </w:r>
                  <w:r>
                    <w:rPr>
                      <w:rFonts w:ascii="Arial" w:eastAsiaTheme="minorEastAsia" w:hAnsi="Arial" w:cs="Arial"/>
                      <w:iCs/>
                      <w:sz w:val="18"/>
                      <w:szCs w:val="18"/>
                    </w:rPr>
                    <w:t>function shall comply with the limits for the frequency range 5250MHz to 5350MHz.</w:t>
                  </w:r>
                </w:p>
              </w:tc>
            </w:tr>
          </w:tbl>
          <w:p w14:paraId="42BDA826" w14:textId="1D179BC1" w:rsidR="00122414" w:rsidRPr="006E76EC" w:rsidRDefault="00122414" w:rsidP="006E76EC">
            <w:pPr>
              <w:snapToGrid w:val="0"/>
              <w:jc w:val="left"/>
              <w:rPr>
                <w:rFonts w:ascii="Times New Roman" w:hAnsi="Times New Roman"/>
                <w:sz w:val="22"/>
              </w:rPr>
            </w:pPr>
          </w:p>
        </w:tc>
      </w:tr>
    </w:tbl>
    <w:p w14:paraId="36124AA0" w14:textId="7BDFA98F" w:rsidR="008345C6" w:rsidRDefault="008345C6" w:rsidP="008345C6">
      <w:pPr>
        <w:snapToGrid w:val="0"/>
        <w:spacing w:before="120"/>
        <w:rPr>
          <w:rFonts w:ascii="Times New Roman" w:hAnsi="Times New Roman"/>
          <w:kern w:val="0"/>
          <w:sz w:val="22"/>
          <w:szCs w:val="20"/>
        </w:rPr>
      </w:pPr>
      <w:r>
        <w:rPr>
          <w:rFonts w:ascii="Times New Roman" w:hAnsi="Times New Roman"/>
          <w:kern w:val="0"/>
          <w:sz w:val="22"/>
          <w:szCs w:val="20"/>
        </w:rPr>
        <w:t xml:space="preserve">The interlace-based resource allocation, </w:t>
      </w:r>
      <w:r w:rsidRPr="008345C6">
        <w:rPr>
          <w:rFonts w:ascii="Times New Roman" w:hAnsi="Times New Roman"/>
          <w:kern w:val="0"/>
          <w:sz w:val="22"/>
        </w:rPr>
        <w:t>where a 20 MHz is sliced into multiple interlaces, of each contains a number of distributed RBs with equal space</w:t>
      </w:r>
      <w:r>
        <w:rPr>
          <w:rFonts w:ascii="Times New Roman" w:hAnsi="Times New Roman"/>
          <w:kern w:val="0"/>
          <w:sz w:val="22"/>
        </w:rPr>
        <w:t>,</w:t>
      </w:r>
      <w:r>
        <w:rPr>
          <w:rFonts w:ascii="Times New Roman" w:hAnsi="Times New Roman"/>
          <w:kern w:val="0"/>
          <w:sz w:val="22"/>
          <w:szCs w:val="20"/>
        </w:rPr>
        <w:t xml:space="preserve"> is introduce in NR</w:t>
      </w:r>
      <w:r>
        <w:rPr>
          <w:rFonts w:ascii="Times New Roman" w:hAnsi="Times New Roman" w:hint="eastAsia"/>
          <w:kern w:val="0"/>
          <w:sz w:val="22"/>
          <w:szCs w:val="20"/>
        </w:rPr>
        <w:t>-</w:t>
      </w:r>
      <w:r>
        <w:rPr>
          <w:rFonts w:ascii="Times New Roman" w:hAnsi="Times New Roman"/>
          <w:kern w:val="0"/>
          <w:sz w:val="22"/>
          <w:szCs w:val="20"/>
        </w:rPr>
        <w:t xml:space="preserve">U due to the regulation requirement on OCB. </w:t>
      </w:r>
      <w:r w:rsidR="006E76EC">
        <w:rPr>
          <w:rFonts w:ascii="Times New Roman" w:hAnsi="Times New Roman"/>
          <w:kern w:val="0"/>
          <w:sz w:val="22"/>
          <w:szCs w:val="20"/>
        </w:rPr>
        <w:t xml:space="preserve">To </w:t>
      </w:r>
      <w:r w:rsidR="006E76EC" w:rsidRPr="006E76EC">
        <w:rPr>
          <w:rFonts w:ascii="Times New Roman" w:hAnsi="Times New Roman"/>
          <w:kern w:val="0"/>
          <w:sz w:val="22"/>
          <w:szCs w:val="20"/>
        </w:rPr>
        <w:t>fulfill the above requirements when operating on unlicensed spectrum</w:t>
      </w:r>
      <w:r w:rsidR="00020703">
        <w:rPr>
          <w:rFonts w:ascii="Times New Roman" w:hAnsi="Times New Roman"/>
          <w:kern w:val="0"/>
          <w:sz w:val="22"/>
          <w:szCs w:val="20"/>
        </w:rPr>
        <w:t>,</w:t>
      </w:r>
      <w:r>
        <w:rPr>
          <w:rFonts w:ascii="Times New Roman" w:hAnsi="Times New Roman"/>
          <w:kern w:val="0"/>
          <w:sz w:val="22"/>
          <w:szCs w:val="20"/>
        </w:rPr>
        <w:t xml:space="preserve"> the interlace-based resource allocation can be reused in SL-U. </w:t>
      </w:r>
    </w:p>
    <w:p w14:paraId="3A2DBCA3" w14:textId="2446707E" w:rsidR="0099561C" w:rsidRDefault="004515CF" w:rsidP="008345C6">
      <w:pPr>
        <w:snapToGrid w:val="0"/>
        <w:spacing w:before="120"/>
        <w:rPr>
          <w:rFonts w:ascii="Times New Roman" w:hAnsi="Times New Roman"/>
          <w:b/>
          <w:i/>
          <w:kern w:val="0"/>
          <w:sz w:val="22"/>
          <w:szCs w:val="20"/>
        </w:rPr>
      </w:pPr>
      <w:r w:rsidRPr="004515CF">
        <w:rPr>
          <w:rFonts w:ascii="Times New Roman" w:hAnsi="Times New Roman"/>
          <w:b/>
          <w:i/>
          <w:kern w:val="0"/>
          <w:sz w:val="22"/>
          <w:szCs w:val="20"/>
        </w:rPr>
        <w:t>Observation</w:t>
      </w:r>
      <w:r w:rsidR="0099561C" w:rsidRPr="004515CF">
        <w:rPr>
          <w:rFonts w:ascii="Times New Roman" w:hAnsi="Times New Roman" w:hint="eastAsia"/>
          <w:b/>
          <w:i/>
          <w:kern w:val="0"/>
          <w:sz w:val="22"/>
          <w:szCs w:val="20"/>
        </w:rPr>
        <w:t>:</w:t>
      </w:r>
      <w:r w:rsidR="0099561C" w:rsidRPr="004515CF">
        <w:rPr>
          <w:rFonts w:ascii="Times New Roman" w:hAnsi="Times New Roman"/>
          <w:b/>
          <w:i/>
          <w:kern w:val="0"/>
          <w:sz w:val="22"/>
          <w:szCs w:val="20"/>
        </w:rPr>
        <w:t xml:space="preserve"> To fulfill the requirements of PSD and OBC when operating on unlicensed spectrum, the interlace-based resource allocation can be reused in SL-U.</w:t>
      </w:r>
    </w:p>
    <w:p w14:paraId="271EB806"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491E14C" w14:textId="79E6217A" w:rsidR="0099561C" w:rsidRDefault="004515CF" w:rsidP="00F733CC">
      <w:pPr>
        <w:spacing w:afterLines="50" w:after="156"/>
        <w:rPr>
          <w:rFonts w:ascii="Times New Roman" w:hAnsi="Times New Roman"/>
          <w:kern w:val="0"/>
          <w:sz w:val="22"/>
          <w:szCs w:val="20"/>
          <w:lang w:val="en-GB" w:eastAsia="ja-JP"/>
        </w:rPr>
      </w:pPr>
      <w:r>
        <w:rPr>
          <w:rFonts w:ascii="Times New Roman" w:hAnsi="Times New Roman"/>
          <w:kern w:val="0"/>
          <w:sz w:val="22"/>
          <w:szCs w:val="20"/>
          <w:lang w:val="en-GB" w:eastAsia="ja-JP"/>
        </w:rPr>
        <w:t xml:space="preserve">In this contribution, </w:t>
      </w:r>
      <w:r w:rsidR="0099561C" w:rsidRPr="0099561C">
        <w:rPr>
          <w:rFonts w:ascii="Times New Roman" w:hAnsi="Times New Roman"/>
          <w:kern w:val="0"/>
          <w:sz w:val="22"/>
          <w:szCs w:val="20"/>
          <w:lang w:val="en-GB" w:eastAsia="ja-JP"/>
        </w:rPr>
        <w:t xml:space="preserve">we </w:t>
      </w:r>
      <w:r>
        <w:rPr>
          <w:rFonts w:ascii="Times New Roman" w:hAnsi="Times New Roman"/>
          <w:kern w:val="0"/>
          <w:sz w:val="22"/>
          <w:szCs w:val="20"/>
          <w:lang w:val="en-GB" w:eastAsia="ja-JP"/>
        </w:rPr>
        <w:t xml:space="preserve">focus </w:t>
      </w:r>
      <w:r w:rsidR="0099561C" w:rsidRPr="0099561C">
        <w:rPr>
          <w:rFonts w:ascii="Times New Roman" w:hAnsi="Times New Roman"/>
          <w:kern w:val="0"/>
          <w:sz w:val="22"/>
          <w:szCs w:val="20"/>
          <w:lang w:val="en-GB" w:eastAsia="ja-JP"/>
        </w:rPr>
        <w:t xml:space="preserve">on the regulations for </w:t>
      </w:r>
      <w:r>
        <w:rPr>
          <w:rFonts w:ascii="Times New Roman" w:hAnsi="Times New Roman"/>
          <w:kern w:val="0"/>
          <w:sz w:val="22"/>
          <w:szCs w:val="20"/>
          <w:lang w:val="en-GB" w:eastAsia="ja-JP"/>
        </w:rPr>
        <w:t>s</w:t>
      </w:r>
      <w:r w:rsidR="0099561C" w:rsidRPr="0099561C">
        <w:rPr>
          <w:rFonts w:ascii="Times New Roman" w:hAnsi="Times New Roman"/>
          <w:kern w:val="0"/>
          <w:sz w:val="22"/>
          <w:szCs w:val="20"/>
          <w:lang w:val="en-GB" w:eastAsia="ja-JP"/>
        </w:rPr>
        <w:t>idelink on unlicensed spectrum</w:t>
      </w:r>
      <w:r>
        <w:rPr>
          <w:rFonts w:ascii="Times New Roman" w:hAnsi="Times New Roman"/>
          <w:kern w:val="0"/>
          <w:sz w:val="22"/>
          <w:szCs w:val="20"/>
          <w:lang w:val="en-GB" w:eastAsia="ja-JP"/>
        </w:rPr>
        <w:t>, with the following observation:</w:t>
      </w:r>
    </w:p>
    <w:p w14:paraId="1FA8E080" w14:textId="2CB96318" w:rsidR="004515CF" w:rsidRDefault="004515CF" w:rsidP="00F733CC">
      <w:pPr>
        <w:spacing w:afterLines="50" w:after="156"/>
        <w:rPr>
          <w:rFonts w:ascii="Times New Roman" w:hAnsi="Times New Roman"/>
          <w:kern w:val="0"/>
          <w:sz w:val="22"/>
          <w:szCs w:val="20"/>
          <w:lang w:val="en-GB" w:eastAsia="ja-JP"/>
        </w:rPr>
      </w:pPr>
      <w:r w:rsidRPr="004515CF">
        <w:rPr>
          <w:rFonts w:ascii="Times New Roman" w:hAnsi="Times New Roman"/>
          <w:b/>
          <w:i/>
          <w:kern w:val="0"/>
          <w:sz w:val="22"/>
          <w:szCs w:val="20"/>
        </w:rPr>
        <w:t>Observation</w:t>
      </w:r>
      <w:r w:rsidRPr="004515CF">
        <w:rPr>
          <w:rFonts w:ascii="Times New Roman" w:hAnsi="Times New Roman" w:hint="eastAsia"/>
          <w:b/>
          <w:i/>
          <w:kern w:val="0"/>
          <w:sz w:val="22"/>
          <w:szCs w:val="20"/>
        </w:rPr>
        <w:t>:</w:t>
      </w:r>
      <w:r w:rsidRPr="004515CF">
        <w:rPr>
          <w:rFonts w:ascii="Times New Roman" w:hAnsi="Times New Roman"/>
          <w:b/>
          <w:i/>
          <w:kern w:val="0"/>
          <w:sz w:val="22"/>
          <w:szCs w:val="20"/>
        </w:rPr>
        <w:t xml:space="preserve"> To fulfill the requirements of PSD and OBC when operating on unlicensed spectrum, the interlace-based resource allocation can be reused in SL-U</w:t>
      </w:r>
    </w:p>
    <w:p w14:paraId="110E2A00" w14:textId="4297588C" w:rsidR="007673AA" w:rsidRPr="000C74C9" w:rsidRDefault="007673AA" w:rsidP="007673AA">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w:t>
      </w:r>
      <w:r w:rsidRPr="000C74C9">
        <w:rPr>
          <w:rFonts w:ascii="Arial" w:eastAsiaTheme="minorEastAsia" w:hAnsi="Arial" w:cstheme="minorBidi"/>
          <w:sz w:val="32"/>
          <w:szCs w:val="36"/>
        </w:rPr>
        <w:t xml:space="preserve">. </w:t>
      </w:r>
      <w:r>
        <w:rPr>
          <w:rFonts w:ascii="Arial" w:eastAsiaTheme="minorEastAsia" w:hAnsi="Arial" w:cstheme="minorBidi"/>
          <w:sz w:val="32"/>
          <w:szCs w:val="36"/>
        </w:rPr>
        <w:t>Reference</w:t>
      </w:r>
    </w:p>
    <w:p w14:paraId="569E632C" w14:textId="741963BD" w:rsidR="006049F4" w:rsidRDefault="00DC6310" w:rsidP="007673AA">
      <w:pPr>
        <w:keepNext/>
        <w:keepLines/>
        <w:widowControl/>
        <w:pBdr>
          <w:top w:val="single" w:sz="12" w:space="1" w:color="auto"/>
        </w:pBdr>
        <w:tabs>
          <w:tab w:val="left" w:pos="567"/>
        </w:tabs>
        <w:adjustRightInd w:val="0"/>
        <w:snapToGrid w:val="0"/>
        <w:rPr>
          <w:rFonts w:ascii="Times New Roman" w:hAnsi="Times New Roman"/>
          <w:sz w:val="20"/>
          <w:szCs w:val="20"/>
        </w:rPr>
      </w:pPr>
      <w:r w:rsidRPr="00DC6310">
        <w:rPr>
          <w:rFonts w:ascii="Times New Roman" w:hAnsi="Times New Roman"/>
          <w:sz w:val="20"/>
          <w:szCs w:val="20"/>
        </w:rPr>
        <w:t>[1]</w:t>
      </w:r>
      <w:r w:rsidR="00F00D3A" w:rsidRPr="00F00D3A">
        <w:t xml:space="preserve"> </w:t>
      </w:r>
      <w:r w:rsidR="00F00D3A" w:rsidRPr="00F00D3A">
        <w:rPr>
          <w:rFonts w:ascii="Times New Roman" w:hAnsi="Times New Roman"/>
          <w:sz w:val="20"/>
          <w:szCs w:val="20"/>
        </w:rPr>
        <w:t>RP-222806 WID revision: NR sidelink evolution, OPPO, TSG RAN Meeting #98-e, December. 12-16, 2022</w:t>
      </w:r>
    </w:p>
    <w:p w14:paraId="38AE7572" w14:textId="223CDE0E" w:rsidR="00BD56E2" w:rsidRDefault="00BD56E2" w:rsidP="007673AA">
      <w:pPr>
        <w:keepNext/>
        <w:keepLines/>
        <w:widowControl/>
        <w:pBdr>
          <w:top w:val="single" w:sz="12" w:space="1" w:color="auto"/>
        </w:pBdr>
        <w:tabs>
          <w:tab w:val="left" w:pos="567"/>
        </w:tabs>
        <w:adjustRightInd w:val="0"/>
        <w:snapToGrid w:val="0"/>
        <w:rPr>
          <w:rFonts w:ascii="Times New Roman" w:hAnsi="Times New Roman"/>
          <w:sz w:val="20"/>
          <w:szCs w:val="20"/>
        </w:rPr>
      </w:pPr>
      <w:r>
        <w:rPr>
          <w:rFonts w:ascii="Times New Roman" w:hAnsi="Times New Roman"/>
          <w:sz w:val="20"/>
          <w:szCs w:val="20"/>
        </w:rPr>
        <w:t xml:space="preserve">[2] </w:t>
      </w:r>
      <w:r w:rsidRPr="00BD56E2">
        <w:rPr>
          <w:rFonts w:ascii="Times New Roman" w:hAnsi="Times New Roman"/>
          <w:sz w:val="20"/>
          <w:szCs w:val="20"/>
        </w:rPr>
        <w:t>ETSI EN 301 893</w:t>
      </w:r>
      <w:r>
        <w:rPr>
          <w:rFonts w:ascii="Times New Roman" w:hAnsi="Times New Roman"/>
          <w:sz w:val="20"/>
          <w:szCs w:val="20"/>
        </w:rPr>
        <w:t xml:space="preserve"> V2.1.1</w:t>
      </w:r>
    </w:p>
    <w:p w14:paraId="3C3C8FCC" w14:textId="12F07446" w:rsidR="00BC6C4F" w:rsidRDefault="00BC6C4F" w:rsidP="007673AA">
      <w:pPr>
        <w:keepNext/>
        <w:keepLines/>
        <w:widowControl/>
        <w:pBdr>
          <w:top w:val="single" w:sz="12" w:space="1" w:color="auto"/>
        </w:pBdr>
        <w:tabs>
          <w:tab w:val="left" w:pos="567"/>
        </w:tabs>
        <w:adjustRightInd w:val="0"/>
        <w:snapToGrid w:val="0"/>
        <w:rPr>
          <w:rFonts w:ascii="Times New Roman" w:hAnsi="Times New Roman"/>
          <w:sz w:val="20"/>
          <w:szCs w:val="20"/>
        </w:rPr>
      </w:pPr>
      <w:r>
        <w:rPr>
          <w:rFonts w:ascii="Times New Roman" w:hAnsi="Times New Roman"/>
          <w:sz w:val="20"/>
          <w:szCs w:val="20"/>
        </w:rPr>
        <w:t xml:space="preserve">[3] </w:t>
      </w:r>
      <w:r w:rsidRPr="00BC6C4F">
        <w:rPr>
          <w:rFonts w:ascii="Times New Roman" w:hAnsi="Times New Roman"/>
          <w:sz w:val="20"/>
          <w:szCs w:val="20"/>
        </w:rPr>
        <w:t>TR 38.889</w:t>
      </w:r>
      <w:r>
        <w:rPr>
          <w:rFonts w:ascii="Times New Roman" w:hAnsi="Times New Roman"/>
          <w:sz w:val="20"/>
          <w:szCs w:val="20"/>
        </w:rPr>
        <w:t xml:space="preserve"> v16.0.0</w:t>
      </w:r>
      <w:r w:rsidR="00894D26">
        <w:rPr>
          <w:rFonts w:ascii="Times New Roman" w:hAnsi="Times New Roman"/>
          <w:sz w:val="20"/>
          <w:szCs w:val="20"/>
        </w:rPr>
        <w:t xml:space="preserve"> </w:t>
      </w:r>
      <w:r w:rsidR="00894D26" w:rsidRPr="00894D26">
        <w:rPr>
          <w:rFonts w:ascii="Times New Roman" w:hAnsi="Times New Roman"/>
          <w:sz w:val="20"/>
          <w:szCs w:val="20"/>
        </w:rPr>
        <w:t>Study on NR-based access to unlicensed spectrum</w:t>
      </w:r>
    </w:p>
    <w:p w14:paraId="786FD2EB" w14:textId="0C1CAEFD" w:rsidR="00BE73A0" w:rsidRDefault="00BE73A0" w:rsidP="007F5895">
      <w:pPr>
        <w:keepNext/>
        <w:keepLines/>
        <w:widowControl/>
        <w:pBdr>
          <w:top w:val="single" w:sz="12" w:space="1" w:color="auto"/>
        </w:pBdr>
        <w:tabs>
          <w:tab w:val="left" w:pos="567"/>
        </w:tabs>
        <w:adjustRightInd w:val="0"/>
        <w:snapToGrid w:val="0"/>
        <w:ind w:left="510" w:hanging="510"/>
        <w:rPr>
          <w:rFonts w:ascii="Times New Roman" w:hAnsi="Times New Roman"/>
          <w:sz w:val="20"/>
          <w:szCs w:val="20"/>
        </w:rPr>
      </w:pPr>
    </w:p>
    <w:sectPr w:rsidR="00BE73A0"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60BF1" w14:textId="77777777" w:rsidR="001E4BF5" w:rsidRDefault="001E4BF5" w:rsidP="00D5618B">
      <w:r>
        <w:separator/>
      </w:r>
    </w:p>
  </w:endnote>
  <w:endnote w:type="continuationSeparator" w:id="0">
    <w:p w14:paraId="60E2E77D" w14:textId="77777777" w:rsidR="001E4BF5" w:rsidRDefault="001E4BF5"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48EC2" w14:textId="77777777" w:rsidR="001E4BF5" w:rsidRDefault="001E4BF5" w:rsidP="00D5618B">
      <w:r>
        <w:separator/>
      </w:r>
    </w:p>
  </w:footnote>
  <w:footnote w:type="continuationSeparator" w:id="0">
    <w:p w14:paraId="4647312B" w14:textId="77777777" w:rsidR="001E4BF5" w:rsidRDefault="001E4BF5"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3A709C" w:rsidRDefault="003A709C">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900EB"/>
    <w:multiLevelType w:val="hybridMultilevel"/>
    <w:tmpl w:val="3D9E236E"/>
    <w:lvl w:ilvl="0" w:tplc="F9CA70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D56A5"/>
    <w:multiLevelType w:val="hybridMultilevel"/>
    <w:tmpl w:val="DD604002"/>
    <w:lvl w:ilvl="0" w:tplc="2A8A787A">
      <w:numFmt w:val="bullet"/>
      <w:lvlText w:val="•"/>
      <w:lvlJc w:val="left"/>
      <w:pPr>
        <w:ind w:left="777" w:hanging="360"/>
      </w:pPr>
      <w:rPr>
        <w:rFonts w:ascii="Times New Roman" w:eastAsia="宋体"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1A2F67"/>
    <w:multiLevelType w:val="hybridMultilevel"/>
    <w:tmpl w:val="39ACE468"/>
    <w:lvl w:ilvl="0" w:tplc="2A8A787A">
      <w:numFmt w:val="bullet"/>
      <w:lvlText w:val="•"/>
      <w:lvlJc w:val="left"/>
      <w:pPr>
        <w:ind w:left="417" w:hanging="360"/>
      </w:pPr>
      <w:rPr>
        <w:rFonts w:ascii="Times New Roman" w:eastAsia="宋体" w:hAnsi="Times New Roman" w:cs="Times New Roman" w:hint="default"/>
      </w:rPr>
    </w:lvl>
    <w:lvl w:ilvl="1" w:tplc="04090003" w:tentative="1">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5"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300D1EDB"/>
    <w:multiLevelType w:val="hybridMultilevel"/>
    <w:tmpl w:val="BE02F074"/>
    <w:lvl w:ilvl="0" w:tplc="1A9AEE8A">
      <w:start w:val="1"/>
      <w:numFmt w:val="bullet"/>
      <w:lvlText w:val="•"/>
      <w:lvlJc w:val="left"/>
      <w:pPr>
        <w:tabs>
          <w:tab w:val="num" w:pos="720"/>
        </w:tabs>
        <w:ind w:left="720" w:hanging="360"/>
      </w:pPr>
      <w:rPr>
        <w:rFonts w:ascii="Arial" w:hAnsi="Arial" w:hint="default"/>
      </w:rPr>
    </w:lvl>
    <w:lvl w:ilvl="1" w:tplc="B336C80E" w:tentative="1">
      <w:start w:val="1"/>
      <w:numFmt w:val="bullet"/>
      <w:lvlText w:val="•"/>
      <w:lvlJc w:val="left"/>
      <w:pPr>
        <w:tabs>
          <w:tab w:val="num" w:pos="1440"/>
        </w:tabs>
        <w:ind w:left="1440" w:hanging="360"/>
      </w:pPr>
      <w:rPr>
        <w:rFonts w:ascii="Arial" w:hAnsi="Arial" w:hint="default"/>
      </w:rPr>
    </w:lvl>
    <w:lvl w:ilvl="2" w:tplc="59A0D434" w:tentative="1">
      <w:start w:val="1"/>
      <w:numFmt w:val="bullet"/>
      <w:lvlText w:val="•"/>
      <w:lvlJc w:val="left"/>
      <w:pPr>
        <w:tabs>
          <w:tab w:val="num" w:pos="2160"/>
        </w:tabs>
        <w:ind w:left="2160" w:hanging="360"/>
      </w:pPr>
      <w:rPr>
        <w:rFonts w:ascii="Arial" w:hAnsi="Arial" w:hint="default"/>
      </w:rPr>
    </w:lvl>
    <w:lvl w:ilvl="3" w:tplc="71F09FF6" w:tentative="1">
      <w:start w:val="1"/>
      <w:numFmt w:val="bullet"/>
      <w:lvlText w:val="•"/>
      <w:lvlJc w:val="left"/>
      <w:pPr>
        <w:tabs>
          <w:tab w:val="num" w:pos="2880"/>
        </w:tabs>
        <w:ind w:left="2880" w:hanging="360"/>
      </w:pPr>
      <w:rPr>
        <w:rFonts w:ascii="Arial" w:hAnsi="Arial" w:hint="default"/>
      </w:rPr>
    </w:lvl>
    <w:lvl w:ilvl="4" w:tplc="3238E6A4" w:tentative="1">
      <w:start w:val="1"/>
      <w:numFmt w:val="bullet"/>
      <w:lvlText w:val="•"/>
      <w:lvlJc w:val="left"/>
      <w:pPr>
        <w:tabs>
          <w:tab w:val="num" w:pos="3600"/>
        </w:tabs>
        <w:ind w:left="3600" w:hanging="360"/>
      </w:pPr>
      <w:rPr>
        <w:rFonts w:ascii="Arial" w:hAnsi="Arial" w:hint="default"/>
      </w:rPr>
    </w:lvl>
    <w:lvl w:ilvl="5" w:tplc="C182321C" w:tentative="1">
      <w:start w:val="1"/>
      <w:numFmt w:val="bullet"/>
      <w:lvlText w:val="•"/>
      <w:lvlJc w:val="left"/>
      <w:pPr>
        <w:tabs>
          <w:tab w:val="num" w:pos="4320"/>
        </w:tabs>
        <w:ind w:left="4320" w:hanging="360"/>
      </w:pPr>
      <w:rPr>
        <w:rFonts w:ascii="Arial" w:hAnsi="Arial" w:hint="default"/>
      </w:rPr>
    </w:lvl>
    <w:lvl w:ilvl="6" w:tplc="B1C67B22" w:tentative="1">
      <w:start w:val="1"/>
      <w:numFmt w:val="bullet"/>
      <w:lvlText w:val="•"/>
      <w:lvlJc w:val="left"/>
      <w:pPr>
        <w:tabs>
          <w:tab w:val="num" w:pos="5040"/>
        </w:tabs>
        <w:ind w:left="5040" w:hanging="360"/>
      </w:pPr>
      <w:rPr>
        <w:rFonts w:ascii="Arial" w:hAnsi="Arial" w:hint="default"/>
      </w:rPr>
    </w:lvl>
    <w:lvl w:ilvl="7" w:tplc="3BCEAD58" w:tentative="1">
      <w:start w:val="1"/>
      <w:numFmt w:val="bullet"/>
      <w:lvlText w:val="•"/>
      <w:lvlJc w:val="left"/>
      <w:pPr>
        <w:tabs>
          <w:tab w:val="num" w:pos="5760"/>
        </w:tabs>
        <w:ind w:left="5760" w:hanging="360"/>
      </w:pPr>
      <w:rPr>
        <w:rFonts w:ascii="Arial" w:hAnsi="Arial" w:hint="default"/>
      </w:rPr>
    </w:lvl>
    <w:lvl w:ilvl="8" w:tplc="A9861E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2B6B4C"/>
    <w:multiLevelType w:val="hybridMultilevel"/>
    <w:tmpl w:val="2F984E2E"/>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8"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D00FAF"/>
    <w:multiLevelType w:val="hybridMultilevel"/>
    <w:tmpl w:val="D1B0F8E4"/>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1" w15:restartNumberingAfterBreak="0">
    <w:nsid w:val="415D438C"/>
    <w:multiLevelType w:val="hybridMultilevel"/>
    <w:tmpl w:val="2A1275D8"/>
    <w:lvl w:ilvl="0" w:tplc="2A8A787A">
      <w:numFmt w:val="bullet"/>
      <w:lvlText w:val="•"/>
      <w:lvlJc w:val="left"/>
      <w:pPr>
        <w:ind w:left="417" w:hanging="360"/>
      </w:pPr>
      <w:rPr>
        <w:rFonts w:ascii="Times New Roman" w:eastAsia="宋体" w:hAnsi="Times New Roman" w:cs="Times New Roman" w:hint="default"/>
      </w:rPr>
    </w:lvl>
    <w:lvl w:ilvl="1" w:tplc="04090003" w:tentative="1">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12" w15:restartNumberingAfterBreak="0">
    <w:nsid w:val="428D6593"/>
    <w:multiLevelType w:val="hybridMultilevel"/>
    <w:tmpl w:val="E67E2A9A"/>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B6E4E"/>
    <w:multiLevelType w:val="hybridMultilevel"/>
    <w:tmpl w:val="00EA64AC"/>
    <w:lvl w:ilvl="0" w:tplc="2A8A787A">
      <w:numFmt w:val="bullet"/>
      <w:lvlText w:val="•"/>
      <w:lvlJc w:val="left"/>
      <w:pPr>
        <w:ind w:left="389" w:hanging="360"/>
      </w:pPr>
      <w:rPr>
        <w:rFonts w:ascii="Times New Roman" w:eastAsia="宋体" w:hAnsi="Times New Roman" w:cs="Times New Roman" w:hint="default"/>
      </w:rPr>
    </w:lvl>
    <w:lvl w:ilvl="1" w:tplc="04090003" w:tentative="1">
      <w:start w:val="1"/>
      <w:numFmt w:val="bullet"/>
      <w:lvlText w:val="o"/>
      <w:lvlJc w:val="left"/>
      <w:pPr>
        <w:ind w:left="1109" w:hanging="360"/>
      </w:pPr>
      <w:rPr>
        <w:rFonts w:ascii="Courier New" w:hAnsi="Courier New" w:cs="Courier New" w:hint="default"/>
      </w:rPr>
    </w:lvl>
    <w:lvl w:ilvl="2" w:tplc="04090005" w:tentative="1">
      <w:start w:val="1"/>
      <w:numFmt w:val="bullet"/>
      <w:lvlText w:val=""/>
      <w:lvlJc w:val="left"/>
      <w:pPr>
        <w:ind w:left="1829" w:hanging="360"/>
      </w:pPr>
      <w:rPr>
        <w:rFonts w:ascii="Wingdings" w:hAnsi="Wingdings" w:hint="default"/>
      </w:rPr>
    </w:lvl>
    <w:lvl w:ilvl="3" w:tplc="04090001" w:tentative="1">
      <w:start w:val="1"/>
      <w:numFmt w:val="bullet"/>
      <w:lvlText w:val=""/>
      <w:lvlJc w:val="left"/>
      <w:pPr>
        <w:ind w:left="2549" w:hanging="360"/>
      </w:pPr>
      <w:rPr>
        <w:rFonts w:ascii="Symbol" w:hAnsi="Symbol" w:hint="default"/>
      </w:rPr>
    </w:lvl>
    <w:lvl w:ilvl="4" w:tplc="04090003" w:tentative="1">
      <w:start w:val="1"/>
      <w:numFmt w:val="bullet"/>
      <w:lvlText w:val="o"/>
      <w:lvlJc w:val="left"/>
      <w:pPr>
        <w:ind w:left="3269" w:hanging="360"/>
      </w:pPr>
      <w:rPr>
        <w:rFonts w:ascii="Courier New" w:hAnsi="Courier New" w:cs="Courier New" w:hint="default"/>
      </w:rPr>
    </w:lvl>
    <w:lvl w:ilvl="5" w:tplc="04090005" w:tentative="1">
      <w:start w:val="1"/>
      <w:numFmt w:val="bullet"/>
      <w:lvlText w:val=""/>
      <w:lvlJc w:val="left"/>
      <w:pPr>
        <w:ind w:left="3989" w:hanging="360"/>
      </w:pPr>
      <w:rPr>
        <w:rFonts w:ascii="Wingdings" w:hAnsi="Wingdings" w:hint="default"/>
      </w:rPr>
    </w:lvl>
    <w:lvl w:ilvl="6" w:tplc="04090001" w:tentative="1">
      <w:start w:val="1"/>
      <w:numFmt w:val="bullet"/>
      <w:lvlText w:val=""/>
      <w:lvlJc w:val="left"/>
      <w:pPr>
        <w:ind w:left="4709" w:hanging="360"/>
      </w:pPr>
      <w:rPr>
        <w:rFonts w:ascii="Symbol" w:hAnsi="Symbol" w:hint="default"/>
      </w:rPr>
    </w:lvl>
    <w:lvl w:ilvl="7" w:tplc="04090003" w:tentative="1">
      <w:start w:val="1"/>
      <w:numFmt w:val="bullet"/>
      <w:lvlText w:val="o"/>
      <w:lvlJc w:val="left"/>
      <w:pPr>
        <w:ind w:left="5429" w:hanging="360"/>
      </w:pPr>
      <w:rPr>
        <w:rFonts w:ascii="Courier New" w:hAnsi="Courier New" w:cs="Courier New" w:hint="default"/>
      </w:rPr>
    </w:lvl>
    <w:lvl w:ilvl="8" w:tplc="04090005" w:tentative="1">
      <w:start w:val="1"/>
      <w:numFmt w:val="bullet"/>
      <w:lvlText w:val=""/>
      <w:lvlJc w:val="left"/>
      <w:pPr>
        <w:ind w:left="6149" w:hanging="360"/>
      </w:pPr>
      <w:rPr>
        <w:rFonts w:ascii="Wingdings" w:hAnsi="Wingdings" w:hint="default"/>
      </w:rPr>
    </w:lvl>
  </w:abstractNum>
  <w:abstractNum w:abstractNumId="14" w15:restartNumberingAfterBreak="0">
    <w:nsid w:val="44471F25"/>
    <w:multiLevelType w:val="hybridMultilevel"/>
    <w:tmpl w:val="FF5AD31A"/>
    <w:lvl w:ilvl="0" w:tplc="0409000F">
      <w:start w:val="1"/>
      <w:numFmt w:val="decimal"/>
      <w:lvlText w:val="%1."/>
      <w:lvlJc w:val="left"/>
      <w:pPr>
        <w:ind w:left="31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D56CF7"/>
    <w:multiLevelType w:val="hybridMultilevel"/>
    <w:tmpl w:val="9A4E29CC"/>
    <w:lvl w:ilvl="0" w:tplc="4ABEBE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FA502D"/>
    <w:multiLevelType w:val="hybridMultilevel"/>
    <w:tmpl w:val="086EE168"/>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E62DF5"/>
    <w:multiLevelType w:val="hybridMultilevel"/>
    <w:tmpl w:val="92E01BBE"/>
    <w:lvl w:ilvl="0" w:tplc="F9CA70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74C741E9"/>
    <w:multiLevelType w:val="hybridMultilevel"/>
    <w:tmpl w:val="9FC00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19"/>
  </w:num>
  <w:num w:numId="4">
    <w:abstractNumId w:val="3"/>
  </w:num>
  <w:num w:numId="5">
    <w:abstractNumId w:val="5"/>
  </w:num>
  <w:num w:numId="6">
    <w:abstractNumId w:val="20"/>
  </w:num>
  <w:num w:numId="7">
    <w:abstractNumId w:val="10"/>
  </w:num>
  <w:num w:numId="8">
    <w:abstractNumId w:val="1"/>
  </w:num>
  <w:num w:numId="9">
    <w:abstractNumId w:val="14"/>
  </w:num>
  <w:num w:numId="10">
    <w:abstractNumId w:val="21"/>
  </w:num>
  <w:num w:numId="11">
    <w:abstractNumId w:val="0"/>
  </w:num>
  <w:num w:numId="12">
    <w:abstractNumId w:val="7"/>
  </w:num>
  <w:num w:numId="13">
    <w:abstractNumId w:val="13"/>
  </w:num>
  <w:num w:numId="14">
    <w:abstractNumId w:val="11"/>
  </w:num>
  <w:num w:numId="15">
    <w:abstractNumId w:val="9"/>
  </w:num>
  <w:num w:numId="16">
    <w:abstractNumId w:val="15"/>
  </w:num>
  <w:num w:numId="17">
    <w:abstractNumId w:val="12"/>
  </w:num>
  <w:num w:numId="18">
    <w:abstractNumId w:val="17"/>
  </w:num>
  <w:num w:numId="19">
    <w:abstractNumId w:val="4"/>
  </w:num>
  <w:num w:numId="20">
    <w:abstractNumId w:val="16"/>
  </w:num>
  <w:num w:numId="21">
    <w:abstractNumId w:val="2"/>
  </w:num>
  <w:num w:numId="2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77F"/>
    <w:rsid w:val="00005E84"/>
    <w:rsid w:val="00006174"/>
    <w:rsid w:val="00006196"/>
    <w:rsid w:val="0001126C"/>
    <w:rsid w:val="00011927"/>
    <w:rsid w:val="00011C3C"/>
    <w:rsid w:val="00012493"/>
    <w:rsid w:val="00012C96"/>
    <w:rsid w:val="000138E6"/>
    <w:rsid w:val="000149E2"/>
    <w:rsid w:val="000160EF"/>
    <w:rsid w:val="00016BC2"/>
    <w:rsid w:val="00020703"/>
    <w:rsid w:val="00021DD4"/>
    <w:rsid w:val="0002231B"/>
    <w:rsid w:val="000223C3"/>
    <w:rsid w:val="000224EE"/>
    <w:rsid w:val="00023A89"/>
    <w:rsid w:val="000241CD"/>
    <w:rsid w:val="00024959"/>
    <w:rsid w:val="00024B1D"/>
    <w:rsid w:val="00025E8F"/>
    <w:rsid w:val="00026563"/>
    <w:rsid w:val="0003025B"/>
    <w:rsid w:val="00030957"/>
    <w:rsid w:val="0003196D"/>
    <w:rsid w:val="000328EF"/>
    <w:rsid w:val="0003334A"/>
    <w:rsid w:val="0003382E"/>
    <w:rsid w:val="00034492"/>
    <w:rsid w:val="000367A0"/>
    <w:rsid w:val="00036D6A"/>
    <w:rsid w:val="00037971"/>
    <w:rsid w:val="00040C35"/>
    <w:rsid w:val="0004256C"/>
    <w:rsid w:val="00043E8D"/>
    <w:rsid w:val="00044652"/>
    <w:rsid w:val="000449E2"/>
    <w:rsid w:val="00044B31"/>
    <w:rsid w:val="0004539C"/>
    <w:rsid w:val="0004564B"/>
    <w:rsid w:val="0004616D"/>
    <w:rsid w:val="00047786"/>
    <w:rsid w:val="00050835"/>
    <w:rsid w:val="00051925"/>
    <w:rsid w:val="00052CB8"/>
    <w:rsid w:val="00052E16"/>
    <w:rsid w:val="00053BCE"/>
    <w:rsid w:val="0005511F"/>
    <w:rsid w:val="0005557C"/>
    <w:rsid w:val="00055B1F"/>
    <w:rsid w:val="00057657"/>
    <w:rsid w:val="00057B7E"/>
    <w:rsid w:val="000606D3"/>
    <w:rsid w:val="00062456"/>
    <w:rsid w:val="00063F77"/>
    <w:rsid w:val="00064E10"/>
    <w:rsid w:val="000660F4"/>
    <w:rsid w:val="0006714C"/>
    <w:rsid w:val="00067233"/>
    <w:rsid w:val="00067A37"/>
    <w:rsid w:val="00067A9F"/>
    <w:rsid w:val="00070B68"/>
    <w:rsid w:val="00070E60"/>
    <w:rsid w:val="000726EB"/>
    <w:rsid w:val="000728AA"/>
    <w:rsid w:val="000742E3"/>
    <w:rsid w:val="00075657"/>
    <w:rsid w:val="00076555"/>
    <w:rsid w:val="00076807"/>
    <w:rsid w:val="00077008"/>
    <w:rsid w:val="0007788D"/>
    <w:rsid w:val="000803EE"/>
    <w:rsid w:val="000811BE"/>
    <w:rsid w:val="00081EC1"/>
    <w:rsid w:val="000821A7"/>
    <w:rsid w:val="000826EF"/>
    <w:rsid w:val="00082B6E"/>
    <w:rsid w:val="000849ED"/>
    <w:rsid w:val="00084B99"/>
    <w:rsid w:val="00085BA6"/>
    <w:rsid w:val="00085D8F"/>
    <w:rsid w:val="00085E61"/>
    <w:rsid w:val="00086232"/>
    <w:rsid w:val="00087747"/>
    <w:rsid w:val="00087810"/>
    <w:rsid w:val="000902B5"/>
    <w:rsid w:val="00090A5D"/>
    <w:rsid w:val="000915BB"/>
    <w:rsid w:val="0009277B"/>
    <w:rsid w:val="00092C18"/>
    <w:rsid w:val="00094958"/>
    <w:rsid w:val="00095D91"/>
    <w:rsid w:val="00097FBD"/>
    <w:rsid w:val="000A01AE"/>
    <w:rsid w:val="000A0963"/>
    <w:rsid w:val="000A0AE8"/>
    <w:rsid w:val="000A0AF7"/>
    <w:rsid w:val="000A0F64"/>
    <w:rsid w:val="000A1FB0"/>
    <w:rsid w:val="000A2EF0"/>
    <w:rsid w:val="000A3424"/>
    <w:rsid w:val="000A3F70"/>
    <w:rsid w:val="000A49BA"/>
    <w:rsid w:val="000A6969"/>
    <w:rsid w:val="000A7904"/>
    <w:rsid w:val="000B032D"/>
    <w:rsid w:val="000B1E44"/>
    <w:rsid w:val="000B28F4"/>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74C9"/>
    <w:rsid w:val="000C7C44"/>
    <w:rsid w:val="000D06CB"/>
    <w:rsid w:val="000D06F5"/>
    <w:rsid w:val="000D16FB"/>
    <w:rsid w:val="000D1C7C"/>
    <w:rsid w:val="000D1F5A"/>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6251"/>
    <w:rsid w:val="000E7663"/>
    <w:rsid w:val="000E777A"/>
    <w:rsid w:val="000E7F07"/>
    <w:rsid w:val="000F0B4E"/>
    <w:rsid w:val="000F115E"/>
    <w:rsid w:val="000F145F"/>
    <w:rsid w:val="000F15DF"/>
    <w:rsid w:val="000F41BC"/>
    <w:rsid w:val="000F4F18"/>
    <w:rsid w:val="000F5E62"/>
    <w:rsid w:val="000F6C2C"/>
    <w:rsid w:val="000F700F"/>
    <w:rsid w:val="000F70C1"/>
    <w:rsid w:val="000F70C8"/>
    <w:rsid w:val="000F70E0"/>
    <w:rsid w:val="000F750E"/>
    <w:rsid w:val="000F7D73"/>
    <w:rsid w:val="00100638"/>
    <w:rsid w:val="00100D0E"/>
    <w:rsid w:val="00101EC1"/>
    <w:rsid w:val="00102B4D"/>
    <w:rsid w:val="001033DA"/>
    <w:rsid w:val="00105D4F"/>
    <w:rsid w:val="0010628D"/>
    <w:rsid w:val="0010688E"/>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962"/>
    <w:rsid w:val="00122414"/>
    <w:rsid w:val="00122897"/>
    <w:rsid w:val="001229DE"/>
    <w:rsid w:val="001234EB"/>
    <w:rsid w:val="00123E6B"/>
    <w:rsid w:val="00123EFD"/>
    <w:rsid w:val="00125087"/>
    <w:rsid w:val="00127576"/>
    <w:rsid w:val="0013029D"/>
    <w:rsid w:val="00131B3F"/>
    <w:rsid w:val="001326C6"/>
    <w:rsid w:val="001330E3"/>
    <w:rsid w:val="0013477E"/>
    <w:rsid w:val="00136C7A"/>
    <w:rsid w:val="00136CDF"/>
    <w:rsid w:val="001377DA"/>
    <w:rsid w:val="00137BE3"/>
    <w:rsid w:val="00137E20"/>
    <w:rsid w:val="00140720"/>
    <w:rsid w:val="00141986"/>
    <w:rsid w:val="00142427"/>
    <w:rsid w:val="0014248C"/>
    <w:rsid w:val="001426C4"/>
    <w:rsid w:val="00142F49"/>
    <w:rsid w:val="00143120"/>
    <w:rsid w:val="00143F1D"/>
    <w:rsid w:val="001469A6"/>
    <w:rsid w:val="00146ADC"/>
    <w:rsid w:val="00147B02"/>
    <w:rsid w:val="00150059"/>
    <w:rsid w:val="001502CC"/>
    <w:rsid w:val="00151CDF"/>
    <w:rsid w:val="00152434"/>
    <w:rsid w:val="001528A5"/>
    <w:rsid w:val="00152C1A"/>
    <w:rsid w:val="00154994"/>
    <w:rsid w:val="001554DD"/>
    <w:rsid w:val="00155651"/>
    <w:rsid w:val="00155B8D"/>
    <w:rsid w:val="001560D6"/>
    <w:rsid w:val="00156DAC"/>
    <w:rsid w:val="001606D6"/>
    <w:rsid w:val="00160888"/>
    <w:rsid w:val="001611C4"/>
    <w:rsid w:val="00161289"/>
    <w:rsid w:val="00161662"/>
    <w:rsid w:val="00163A38"/>
    <w:rsid w:val="00165020"/>
    <w:rsid w:val="00165EDA"/>
    <w:rsid w:val="0016673D"/>
    <w:rsid w:val="0017148E"/>
    <w:rsid w:val="00172290"/>
    <w:rsid w:val="001725F0"/>
    <w:rsid w:val="00173048"/>
    <w:rsid w:val="00173CED"/>
    <w:rsid w:val="001741D3"/>
    <w:rsid w:val="00177A71"/>
    <w:rsid w:val="00180138"/>
    <w:rsid w:val="00180913"/>
    <w:rsid w:val="00181573"/>
    <w:rsid w:val="00182088"/>
    <w:rsid w:val="00182911"/>
    <w:rsid w:val="00182F03"/>
    <w:rsid w:val="00183E23"/>
    <w:rsid w:val="0018424B"/>
    <w:rsid w:val="00184340"/>
    <w:rsid w:val="00186210"/>
    <w:rsid w:val="001871FA"/>
    <w:rsid w:val="0018778C"/>
    <w:rsid w:val="00187A01"/>
    <w:rsid w:val="00191E0E"/>
    <w:rsid w:val="00194755"/>
    <w:rsid w:val="00194EBD"/>
    <w:rsid w:val="00195377"/>
    <w:rsid w:val="00197252"/>
    <w:rsid w:val="00197697"/>
    <w:rsid w:val="00197F64"/>
    <w:rsid w:val="001A08E2"/>
    <w:rsid w:val="001A1055"/>
    <w:rsid w:val="001A22BD"/>
    <w:rsid w:val="001A2375"/>
    <w:rsid w:val="001A3034"/>
    <w:rsid w:val="001A32E3"/>
    <w:rsid w:val="001A33BF"/>
    <w:rsid w:val="001A43E9"/>
    <w:rsid w:val="001A4EEC"/>
    <w:rsid w:val="001A59A4"/>
    <w:rsid w:val="001A63AE"/>
    <w:rsid w:val="001B186B"/>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2C1"/>
    <w:rsid w:val="001E4BC8"/>
    <w:rsid w:val="001E4BF5"/>
    <w:rsid w:val="001E5085"/>
    <w:rsid w:val="001E5378"/>
    <w:rsid w:val="001E6F56"/>
    <w:rsid w:val="001E71AC"/>
    <w:rsid w:val="001E7AE1"/>
    <w:rsid w:val="001F1181"/>
    <w:rsid w:val="001F1745"/>
    <w:rsid w:val="001F17EC"/>
    <w:rsid w:val="001F227B"/>
    <w:rsid w:val="001F2FBC"/>
    <w:rsid w:val="001F6320"/>
    <w:rsid w:val="001F6630"/>
    <w:rsid w:val="0020138B"/>
    <w:rsid w:val="0020155F"/>
    <w:rsid w:val="00201567"/>
    <w:rsid w:val="00202428"/>
    <w:rsid w:val="00203046"/>
    <w:rsid w:val="002030C3"/>
    <w:rsid w:val="00203DEC"/>
    <w:rsid w:val="0020494F"/>
    <w:rsid w:val="002068E6"/>
    <w:rsid w:val="00211040"/>
    <w:rsid w:val="00211F9F"/>
    <w:rsid w:val="00212427"/>
    <w:rsid w:val="002131E0"/>
    <w:rsid w:val="00213A14"/>
    <w:rsid w:val="00214B90"/>
    <w:rsid w:val="00214D42"/>
    <w:rsid w:val="00215703"/>
    <w:rsid w:val="002159B3"/>
    <w:rsid w:val="00216CA3"/>
    <w:rsid w:val="002210C0"/>
    <w:rsid w:val="002211D8"/>
    <w:rsid w:val="00221F31"/>
    <w:rsid w:val="00222116"/>
    <w:rsid w:val="00222860"/>
    <w:rsid w:val="00222A08"/>
    <w:rsid w:val="0022300D"/>
    <w:rsid w:val="00223A14"/>
    <w:rsid w:val="00224686"/>
    <w:rsid w:val="00224C40"/>
    <w:rsid w:val="00224E27"/>
    <w:rsid w:val="002264FB"/>
    <w:rsid w:val="00226EC8"/>
    <w:rsid w:val="002314FD"/>
    <w:rsid w:val="00231FF1"/>
    <w:rsid w:val="00233587"/>
    <w:rsid w:val="0023392F"/>
    <w:rsid w:val="00233B01"/>
    <w:rsid w:val="00235FEF"/>
    <w:rsid w:val="002370D6"/>
    <w:rsid w:val="002379D3"/>
    <w:rsid w:val="00237F52"/>
    <w:rsid w:val="002401B1"/>
    <w:rsid w:val="002406C0"/>
    <w:rsid w:val="002408B1"/>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50B0"/>
    <w:rsid w:val="002564E9"/>
    <w:rsid w:val="0025691A"/>
    <w:rsid w:val="00257CD7"/>
    <w:rsid w:val="002628DD"/>
    <w:rsid w:val="00262B4C"/>
    <w:rsid w:val="002643F2"/>
    <w:rsid w:val="00264A81"/>
    <w:rsid w:val="00265211"/>
    <w:rsid w:val="00266120"/>
    <w:rsid w:val="00270E88"/>
    <w:rsid w:val="00273C26"/>
    <w:rsid w:val="00273D06"/>
    <w:rsid w:val="00274A57"/>
    <w:rsid w:val="00275F0D"/>
    <w:rsid w:val="0027615A"/>
    <w:rsid w:val="00276210"/>
    <w:rsid w:val="002773E8"/>
    <w:rsid w:val="00277AE1"/>
    <w:rsid w:val="0028013D"/>
    <w:rsid w:val="0028164D"/>
    <w:rsid w:val="00281720"/>
    <w:rsid w:val="002817F4"/>
    <w:rsid w:val="00281D58"/>
    <w:rsid w:val="00282312"/>
    <w:rsid w:val="00282717"/>
    <w:rsid w:val="00282734"/>
    <w:rsid w:val="002833A3"/>
    <w:rsid w:val="00284C47"/>
    <w:rsid w:val="00284E14"/>
    <w:rsid w:val="00285780"/>
    <w:rsid w:val="00285BF7"/>
    <w:rsid w:val="00285E77"/>
    <w:rsid w:val="002868C1"/>
    <w:rsid w:val="0029022F"/>
    <w:rsid w:val="002922BF"/>
    <w:rsid w:val="0029337A"/>
    <w:rsid w:val="00293618"/>
    <w:rsid w:val="002946D1"/>
    <w:rsid w:val="00294A39"/>
    <w:rsid w:val="00296039"/>
    <w:rsid w:val="002967E4"/>
    <w:rsid w:val="002A0026"/>
    <w:rsid w:val="002A0945"/>
    <w:rsid w:val="002A09B6"/>
    <w:rsid w:val="002A0E94"/>
    <w:rsid w:val="002A317E"/>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F6"/>
    <w:rsid w:val="002B5B3F"/>
    <w:rsid w:val="002B715D"/>
    <w:rsid w:val="002C098A"/>
    <w:rsid w:val="002C29FD"/>
    <w:rsid w:val="002C4583"/>
    <w:rsid w:val="002C4601"/>
    <w:rsid w:val="002C59C0"/>
    <w:rsid w:val="002C6F34"/>
    <w:rsid w:val="002C6FCA"/>
    <w:rsid w:val="002D009B"/>
    <w:rsid w:val="002D12B5"/>
    <w:rsid w:val="002D289B"/>
    <w:rsid w:val="002D6388"/>
    <w:rsid w:val="002D6937"/>
    <w:rsid w:val="002D6D05"/>
    <w:rsid w:val="002D6F2A"/>
    <w:rsid w:val="002D706F"/>
    <w:rsid w:val="002D726E"/>
    <w:rsid w:val="002D75B8"/>
    <w:rsid w:val="002D7DEE"/>
    <w:rsid w:val="002E0CA4"/>
    <w:rsid w:val="002E1212"/>
    <w:rsid w:val="002E23B9"/>
    <w:rsid w:val="002E389B"/>
    <w:rsid w:val="002E4D43"/>
    <w:rsid w:val="002E5905"/>
    <w:rsid w:val="002E5E07"/>
    <w:rsid w:val="002E767C"/>
    <w:rsid w:val="002F0378"/>
    <w:rsid w:val="002F0C66"/>
    <w:rsid w:val="002F0E6F"/>
    <w:rsid w:val="002F1412"/>
    <w:rsid w:val="002F4775"/>
    <w:rsid w:val="002F4B9F"/>
    <w:rsid w:val="002F52C9"/>
    <w:rsid w:val="002F6EBC"/>
    <w:rsid w:val="002F7E7F"/>
    <w:rsid w:val="00301877"/>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300C5"/>
    <w:rsid w:val="00330D7C"/>
    <w:rsid w:val="003316DF"/>
    <w:rsid w:val="003320BB"/>
    <w:rsid w:val="003325D1"/>
    <w:rsid w:val="00333F99"/>
    <w:rsid w:val="003348A0"/>
    <w:rsid w:val="00335579"/>
    <w:rsid w:val="00336C28"/>
    <w:rsid w:val="00337A7F"/>
    <w:rsid w:val="00340045"/>
    <w:rsid w:val="00340531"/>
    <w:rsid w:val="0034101C"/>
    <w:rsid w:val="00341BB8"/>
    <w:rsid w:val="003420CF"/>
    <w:rsid w:val="00342755"/>
    <w:rsid w:val="00343705"/>
    <w:rsid w:val="00343CB6"/>
    <w:rsid w:val="00345281"/>
    <w:rsid w:val="0034578A"/>
    <w:rsid w:val="003458DD"/>
    <w:rsid w:val="00345D3B"/>
    <w:rsid w:val="00346FB0"/>
    <w:rsid w:val="00347607"/>
    <w:rsid w:val="003476FF"/>
    <w:rsid w:val="00350420"/>
    <w:rsid w:val="00350D07"/>
    <w:rsid w:val="003512E8"/>
    <w:rsid w:val="0035206D"/>
    <w:rsid w:val="003532FA"/>
    <w:rsid w:val="003542AC"/>
    <w:rsid w:val="0035490F"/>
    <w:rsid w:val="00356833"/>
    <w:rsid w:val="00360585"/>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4DEC"/>
    <w:rsid w:val="003868C5"/>
    <w:rsid w:val="0039099D"/>
    <w:rsid w:val="003916B5"/>
    <w:rsid w:val="0039181B"/>
    <w:rsid w:val="00392BAD"/>
    <w:rsid w:val="003934F2"/>
    <w:rsid w:val="00394CDD"/>
    <w:rsid w:val="00395100"/>
    <w:rsid w:val="00395B8C"/>
    <w:rsid w:val="0039637C"/>
    <w:rsid w:val="00396D76"/>
    <w:rsid w:val="00397198"/>
    <w:rsid w:val="00397BAF"/>
    <w:rsid w:val="003A07B8"/>
    <w:rsid w:val="003A1C5A"/>
    <w:rsid w:val="003A49DF"/>
    <w:rsid w:val="003A5E5E"/>
    <w:rsid w:val="003A709C"/>
    <w:rsid w:val="003A79C0"/>
    <w:rsid w:val="003B1CDF"/>
    <w:rsid w:val="003B1FA7"/>
    <w:rsid w:val="003B231E"/>
    <w:rsid w:val="003B2374"/>
    <w:rsid w:val="003B298E"/>
    <w:rsid w:val="003B3DC5"/>
    <w:rsid w:val="003B43D8"/>
    <w:rsid w:val="003B4B56"/>
    <w:rsid w:val="003B5818"/>
    <w:rsid w:val="003B5E10"/>
    <w:rsid w:val="003B74FC"/>
    <w:rsid w:val="003C139C"/>
    <w:rsid w:val="003C261C"/>
    <w:rsid w:val="003C27C4"/>
    <w:rsid w:val="003C28A5"/>
    <w:rsid w:val="003C2F55"/>
    <w:rsid w:val="003C347D"/>
    <w:rsid w:val="003C466D"/>
    <w:rsid w:val="003C57A7"/>
    <w:rsid w:val="003C5C45"/>
    <w:rsid w:val="003C6757"/>
    <w:rsid w:val="003C6A82"/>
    <w:rsid w:val="003C7A12"/>
    <w:rsid w:val="003C7B4D"/>
    <w:rsid w:val="003D00C6"/>
    <w:rsid w:val="003D2ADD"/>
    <w:rsid w:val="003D38C7"/>
    <w:rsid w:val="003D3A57"/>
    <w:rsid w:val="003D3A7F"/>
    <w:rsid w:val="003D5386"/>
    <w:rsid w:val="003E0160"/>
    <w:rsid w:val="003E0EB8"/>
    <w:rsid w:val="003E10D8"/>
    <w:rsid w:val="003E17AD"/>
    <w:rsid w:val="003E277F"/>
    <w:rsid w:val="003E309D"/>
    <w:rsid w:val="003E5A30"/>
    <w:rsid w:val="003E5EF2"/>
    <w:rsid w:val="003E7BAA"/>
    <w:rsid w:val="003E7F0E"/>
    <w:rsid w:val="003F00D7"/>
    <w:rsid w:val="003F0F4E"/>
    <w:rsid w:val="003F1C84"/>
    <w:rsid w:val="003F2035"/>
    <w:rsid w:val="003F2587"/>
    <w:rsid w:val="003F42A4"/>
    <w:rsid w:val="003F51E3"/>
    <w:rsid w:val="003F520C"/>
    <w:rsid w:val="003F7F29"/>
    <w:rsid w:val="004017E5"/>
    <w:rsid w:val="00403E79"/>
    <w:rsid w:val="00403F2A"/>
    <w:rsid w:val="0040406D"/>
    <w:rsid w:val="004049AA"/>
    <w:rsid w:val="00405536"/>
    <w:rsid w:val="00407AE6"/>
    <w:rsid w:val="004100DE"/>
    <w:rsid w:val="00410B17"/>
    <w:rsid w:val="00410EAF"/>
    <w:rsid w:val="004111A1"/>
    <w:rsid w:val="004119D3"/>
    <w:rsid w:val="00411B75"/>
    <w:rsid w:val="00413198"/>
    <w:rsid w:val="004161E4"/>
    <w:rsid w:val="0041689A"/>
    <w:rsid w:val="00416DB1"/>
    <w:rsid w:val="004175A3"/>
    <w:rsid w:val="00417A3F"/>
    <w:rsid w:val="00417DB5"/>
    <w:rsid w:val="004206E1"/>
    <w:rsid w:val="004207F8"/>
    <w:rsid w:val="004220D7"/>
    <w:rsid w:val="00422DCE"/>
    <w:rsid w:val="004259E8"/>
    <w:rsid w:val="0042755E"/>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A8C"/>
    <w:rsid w:val="00441B32"/>
    <w:rsid w:val="0044386A"/>
    <w:rsid w:val="00443A65"/>
    <w:rsid w:val="00443AA8"/>
    <w:rsid w:val="0044454A"/>
    <w:rsid w:val="00445856"/>
    <w:rsid w:val="00446B85"/>
    <w:rsid w:val="00450AB2"/>
    <w:rsid w:val="004515CF"/>
    <w:rsid w:val="00452D97"/>
    <w:rsid w:val="00452E40"/>
    <w:rsid w:val="004541E1"/>
    <w:rsid w:val="00454B6C"/>
    <w:rsid w:val="00456965"/>
    <w:rsid w:val="00457CAE"/>
    <w:rsid w:val="0046114F"/>
    <w:rsid w:val="00461E88"/>
    <w:rsid w:val="00461F16"/>
    <w:rsid w:val="0046318B"/>
    <w:rsid w:val="00463461"/>
    <w:rsid w:val="004640AB"/>
    <w:rsid w:val="004644AE"/>
    <w:rsid w:val="0046461C"/>
    <w:rsid w:val="00465531"/>
    <w:rsid w:val="004666F1"/>
    <w:rsid w:val="0046682E"/>
    <w:rsid w:val="00470573"/>
    <w:rsid w:val="00470A03"/>
    <w:rsid w:val="00471045"/>
    <w:rsid w:val="00472B38"/>
    <w:rsid w:val="004733FB"/>
    <w:rsid w:val="0047357D"/>
    <w:rsid w:val="00473E19"/>
    <w:rsid w:val="00475182"/>
    <w:rsid w:val="004764F4"/>
    <w:rsid w:val="0047689D"/>
    <w:rsid w:val="00477590"/>
    <w:rsid w:val="00477DED"/>
    <w:rsid w:val="00480BF3"/>
    <w:rsid w:val="00480F1F"/>
    <w:rsid w:val="004814F7"/>
    <w:rsid w:val="004825C6"/>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B61"/>
    <w:rsid w:val="004956B2"/>
    <w:rsid w:val="00496701"/>
    <w:rsid w:val="004970EB"/>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2330"/>
    <w:rsid w:val="004B2E50"/>
    <w:rsid w:val="004B3ACD"/>
    <w:rsid w:val="004B4C60"/>
    <w:rsid w:val="004B4E16"/>
    <w:rsid w:val="004B6372"/>
    <w:rsid w:val="004B6C9D"/>
    <w:rsid w:val="004B7C4F"/>
    <w:rsid w:val="004B7ECF"/>
    <w:rsid w:val="004C0275"/>
    <w:rsid w:val="004C046C"/>
    <w:rsid w:val="004C04CB"/>
    <w:rsid w:val="004C0923"/>
    <w:rsid w:val="004C0D3C"/>
    <w:rsid w:val="004C197A"/>
    <w:rsid w:val="004C27F1"/>
    <w:rsid w:val="004C4033"/>
    <w:rsid w:val="004D1EF3"/>
    <w:rsid w:val="004D3F96"/>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4DB"/>
    <w:rsid w:val="004E7582"/>
    <w:rsid w:val="004E7B3E"/>
    <w:rsid w:val="004F01C4"/>
    <w:rsid w:val="004F0B06"/>
    <w:rsid w:val="004F0FC0"/>
    <w:rsid w:val="004F125E"/>
    <w:rsid w:val="004F2F26"/>
    <w:rsid w:val="004F5244"/>
    <w:rsid w:val="004F5F34"/>
    <w:rsid w:val="005008DD"/>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B6A"/>
    <w:rsid w:val="00515E8F"/>
    <w:rsid w:val="005169B2"/>
    <w:rsid w:val="00517014"/>
    <w:rsid w:val="0052106B"/>
    <w:rsid w:val="005210CA"/>
    <w:rsid w:val="00521416"/>
    <w:rsid w:val="0052385C"/>
    <w:rsid w:val="00523A16"/>
    <w:rsid w:val="005242FE"/>
    <w:rsid w:val="005247B7"/>
    <w:rsid w:val="00526A29"/>
    <w:rsid w:val="0052721A"/>
    <w:rsid w:val="005275FC"/>
    <w:rsid w:val="005300FD"/>
    <w:rsid w:val="0053084B"/>
    <w:rsid w:val="0053203B"/>
    <w:rsid w:val="00534AAF"/>
    <w:rsid w:val="005353CD"/>
    <w:rsid w:val="005359F9"/>
    <w:rsid w:val="005378E8"/>
    <w:rsid w:val="0054069E"/>
    <w:rsid w:val="00540AFE"/>
    <w:rsid w:val="00540D6E"/>
    <w:rsid w:val="00541226"/>
    <w:rsid w:val="0054187F"/>
    <w:rsid w:val="00541A8D"/>
    <w:rsid w:val="005427C9"/>
    <w:rsid w:val="00542EDC"/>
    <w:rsid w:val="00543CB3"/>
    <w:rsid w:val="005443B7"/>
    <w:rsid w:val="00544D5D"/>
    <w:rsid w:val="00544F04"/>
    <w:rsid w:val="005453E4"/>
    <w:rsid w:val="005459C3"/>
    <w:rsid w:val="00546142"/>
    <w:rsid w:val="00546DF1"/>
    <w:rsid w:val="005507CB"/>
    <w:rsid w:val="00551058"/>
    <w:rsid w:val="00552237"/>
    <w:rsid w:val="00553635"/>
    <w:rsid w:val="00554E1D"/>
    <w:rsid w:val="0055608C"/>
    <w:rsid w:val="00556431"/>
    <w:rsid w:val="00556595"/>
    <w:rsid w:val="00556A8C"/>
    <w:rsid w:val="00556B41"/>
    <w:rsid w:val="00557237"/>
    <w:rsid w:val="005578A7"/>
    <w:rsid w:val="00557B2A"/>
    <w:rsid w:val="005602D5"/>
    <w:rsid w:val="005622AA"/>
    <w:rsid w:val="0056268B"/>
    <w:rsid w:val="005641B8"/>
    <w:rsid w:val="005651D7"/>
    <w:rsid w:val="00566223"/>
    <w:rsid w:val="00566A9F"/>
    <w:rsid w:val="00567DF7"/>
    <w:rsid w:val="005722FC"/>
    <w:rsid w:val="00572CC7"/>
    <w:rsid w:val="005764B2"/>
    <w:rsid w:val="00576C6E"/>
    <w:rsid w:val="00576DA2"/>
    <w:rsid w:val="0057796C"/>
    <w:rsid w:val="0058053B"/>
    <w:rsid w:val="005815B1"/>
    <w:rsid w:val="005826E8"/>
    <w:rsid w:val="00582903"/>
    <w:rsid w:val="00582FB6"/>
    <w:rsid w:val="00583A1F"/>
    <w:rsid w:val="00583BA7"/>
    <w:rsid w:val="0058515D"/>
    <w:rsid w:val="00587E7B"/>
    <w:rsid w:val="00591008"/>
    <w:rsid w:val="005922E0"/>
    <w:rsid w:val="00592AD8"/>
    <w:rsid w:val="00592B00"/>
    <w:rsid w:val="00593391"/>
    <w:rsid w:val="00594C77"/>
    <w:rsid w:val="00594F4F"/>
    <w:rsid w:val="005957E0"/>
    <w:rsid w:val="00596300"/>
    <w:rsid w:val="005975B6"/>
    <w:rsid w:val="00597A68"/>
    <w:rsid w:val="005A2F9D"/>
    <w:rsid w:val="005A407F"/>
    <w:rsid w:val="005A52B5"/>
    <w:rsid w:val="005A5E6E"/>
    <w:rsid w:val="005A64C4"/>
    <w:rsid w:val="005A6668"/>
    <w:rsid w:val="005A7C55"/>
    <w:rsid w:val="005B10D7"/>
    <w:rsid w:val="005B1AA8"/>
    <w:rsid w:val="005B2A74"/>
    <w:rsid w:val="005B32AA"/>
    <w:rsid w:val="005B368A"/>
    <w:rsid w:val="005B4A79"/>
    <w:rsid w:val="005B7524"/>
    <w:rsid w:val="005B79A4"/>
    <w:rsid w:val="005B7DE2"/>
    <w:rsid w:val="005C0DC7"/>
    <w:rsid w:val="005C6829"/>
    <w:rsid w:val="005C6AE1"/>
    <w:rsid w:val="005C6E38"/>
    <w:rsid w:val="005C7684"/>
    <w:rsid w:val="005C7AF1"/>
    <w:rsid w:val="005D0187"/>
    <w:rsid w:val="005D0B6E"/>
    <w:rsid w:val="005D0C74"/>
    <w:rsid w:val="005D1D6D"/>
    <w:rsid w:val="005D1E70"/>
    <w:rsid w:val="005D1F83"/>
    <w:rsid w:val="005D2156"/>
    <w:rsid w:val="005D2995"/>
    <w:rsid w:val="005D2C2F"/>
    <w:rsid w:val="005D3A0C"/>
    <w:rsid w:val="005D3D5D"/>
    <w:rsid w:val="005D3E37"/>
    <w:rsid w:val="005D498C"/>
    <w:rsid w:val="005D6192"/>
    <w:rsid w:val="005D69DD"/>
    <w:rsid w:val="005D6B9C"/>
    <w:rsid w:val="005D7D3C"/>
    <w:rsid w:val="005D7F7F"/>
    <w:rsid w:val="005E050E"/>
    <w:rsid w:val="005E0EE0"/>
    <w:rsid w:val="005E1867"/>
    <w:rsid w:val="005E30E1"/>
    <w:rsid w:val="005E318A"/>
    <w:rsid w:val="005E37F0"/>
    <w:rsid w:val="005E39EA"/>
    <w:rsid w:val="005E521D"/>
    <w:rsid w:val="005E52A7"/>
    <w:rsid w:val="005E5317"/>
    <w:rsid w:val="005E5F43"/>
    <w:rsid w:val="005E633F"/>
    <w:rsid w:val="005E69AE"/>
    <w:rsid w:val="005E7594"/>
    <w:rsid w:val="005F099F"/>
    <w:rsid w:val="005F0C6B"/>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49F4"/>
    <w:rsid w:val="00606402"/>
    <w:rsid w:val="00606F5F"/>
    <w:rsid w:val="00607FD5"/>
    <w:rsid w:val="0061007F"/>
    <w:rsid w:val="006116A1"/>
    <w:rsid w:val="00612000"/>
    <w:rsid w:val="00612375"/>
    <w:rsid w:val="00614160"/>
    <w:rsid w:val="00614CC8"/>
    <w:rsid w:val="00616214"/>
    <w:rsid w:val="00616292"/>
    <w:rsid w:val="006179F5"/>
    <w:rsid w:val="00620F80"/>
    <w:rsid w:val="00624355"/>
    <w:rsid w:val="006244B7"/>
    <w:rsid w:val="00624638"/>
    <w:rsid w:val="00624FA9"/>
    <w:rsid w:val="00626EFC"/>
    <w:rsid w:val="00627D11"/>
    <w:rsid w:val="00630129"/>
    <w:rsid w:val="00630434"/>
    <w:rsid w:val="0063090B"/>
    <w:rsid w:val="00630D0A"/>
    <w:rsid w:val="00631686"/>
    <w:rsid w:val="00632675"/>
    <w:rsid w:val="006329E7"/>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70F"/>
    <w:rsid w:val="00650061"/>
    <w:rsid w:val="00650BA3"/>
    <w:rsid w:val="00651903"/>
    <w:rsid w:val="0065331A"/>
    <w:rsid w:val="0065407A"/>
    <w:rsid w:val="00654517"/>
    <w:rsid w:val="00654CB1"/>
    <w:rsid w:val="0065538B"/>
    <w:rsid w:val="00655FBB"/>
    <w:rsid w:val="00657C49"/>
    <w:rsid w:val="00661508"/>
    <w:rsid w:val="00661543"/>
    <w:rsid w:val="00662241"/>
    <w:rsid w:val="0066282D"/>
    <w:rsid w:val="00662FCE"/>
    <w:rsid w:val="00663B36"/>
    <w:rsid w:val="00665342"/>
    <w:rsid w:val="00665B97"/>
    <w:rsid w:val="00666079"/>
    <w:rsid w:val="00666FE5"/>
    <w:rsid w:val="00667691"/>
    <w:rsid w:val="00667B90"/>
    <w:rsid w:val="0067015D"/>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4ADA"/>
    <w:rsid w:val="00685378"/>
    <w:rsid w:val="00685C81"/>
    <w:rsid w:val="0068642A"/>
    <w:rsid w:val="00686437"/>
    <w:rsid w:val="00686CBD"/>
    <w:rsid w:val="00687FBA"/>
    <w:rsid w:val="0069227D"/>
    <w:rsid w:val="006941CA"/>
    <w:rsid w:val="00695570"/>
    <w:rsid w:val="0069575E"/>
    <w:rsid w:val="00695DA0"/>
    <w:rsid w:val="00696996"/>
    <w:rsid w:val="006978A7"/>
    <w:rsid w:val="006A0A07"/>
    <w:rsid w:val="006A0D75"/>
    <w:rsid w:val="006A2E24"/>
    <w:rsid w:val="006A548F"/>
    <w:rsid w:val="006A571E"/>
    <w:rsid w:val="006A57EA"/>
    <w:rsid w:val="006A6B04"/>
    <w:rsid w:val="006A7287"/>
    <w:rsid w:val="006A750A"/>
    <w:rsid w:val="006A7954"/>
    <w:rsid w:val="006A7EBB"/>
    <w:rsid w:val="006B014E"/>
    <w:rsid w:val="006B06CA"/>
    <w:rsid w:val="006B0BB5"/>
    <w:rsid w:val="006B0C19"/>
    <w:rsid w:val="006B101D"/>
    <w:rsid w:val="006B1D20"/>
    <w:rsid w:val="006B4AD6"/>
    <w:rsid w:val="006B4B3C"/>
    <w:rsid w:val="006C0481"/>
    <w:rsid w:val="006C08B0"/>
    <w:rsid w:val="006C10E1"/>
    <w:rsid w:val="006C14A0"/>
    <w:rsid w:val="006C1772"/>
    <w:rsid w:val="006C17CE"/>
    <w:rsid w:val="006C1FC4"/>
    <w:rsid w:val="006C2048"/>
    <w:rsid w:val="006C2173"/>
    <w:rsid w:val="006C240A"/>
    <w:rsid w:val="006C2999"/>
    <w:rsid w:val="006C2FE1"/>
    <w:rsid w:val="006C3EB1"/>
    <w:rsid w:val="006C5D13"/>
    <w:rsid w:val="006C5F24"/>
    <w:rsid w:val="006C60AC"/>
    <w:rsid w:val="006D0155"/>
    <w:rsid w:val="006D11DF"/>
    <w:rsid w:val="006D314F"/>
    <w:rsid w:val="006D32C1"/>
    <w:rsid w:val="006D4D27"/>
    <w:rsid w:val="006D4FB0"/>
    <w:rsid w:val="006D58E6"/>
    <w:rsid w:val="006D5B25"/>
    <w:rsid w:val="006D62AD"/>
    <w:rsid w:val="006D7C07"/>
    <w:rsid w:val="006E0E47"/>
    <w:rsid w:val="006E1825"/>
    <w:rsid w:val="006E1914"/>
    <w:rsid w:val="006E20A5"/>
    <w:rsid w:val="006E3B58"/>
    <w:rsid w:val="006E4B0B"/>
    <w:rsid w:val="006E4F30"/>
    <w:rsid w:val="006E5911"/>
    <w:rsid w:val="006E59FD"/>
    <w:rsid w:val="006E5B04"/>
    <w:rsid w:val="006E76EC"/>
    <w:rsid w:val="006E7B77"/>
    <w:rsid w:val="006F0917"/>
    <w:rsid w:val="006F0C64"/>
    <w:rsid w:val="006F1C31"/>
    <w:rsid w:val="006F2E59"/>
    <w:rsid w:val="006F385A"/>
    <w:rsid w:val="006F410A"/>
    <w:rsid w:val="006F49E6"/>
    <w:rsid w:val="006F4FDF"/>
    <w:rsid w:val="006F551A"/>
    <w:rsid w:val="00700CE4"/>
    <w:rsid w:val="007021D8"/>
    <w:rsid w:val="00702A9F"/>
    <w:rsid w:val="007032BB"/>
    <w:rsid w:val="00704004"/>
    <w:rsid w:val="00704044"/>
    <w:rsid w:val="007048D3"/>
    <w:rsid w:val="007069AC"/>
    <w:rsid w:val="00710904"/>
    <w:rsid w:val="007125BA"/>
    <w:rsid w:val="00712DB0"/>
    <w:rsid w:val="00713261"/>
    <w:rsid w:val="00714FA7"/>
    <w:rsid w:val="00715328"/>
    <w:rsid w:val="00715E9D"/>
    <w:rsid w:val="007164AB"/>
    <w:rsid w:val="007169C4"/>
    <w:rsid w:val="00716E29"/>
    <w:rsid w:val="00717EE5"/>
    <w:rsid w:val="007212ED"/>
    <w:rsid w:val="00722317"/>
    <w:rsid w:val="007230FF"/>
    <w:rsid w:val="00724EF7"/>
    <w:rsid w:val="0072520A"/>
    <w:rsid w:val="00725311"/>
    <w:rsid w:val="00725C2F"/>
    <w:rsid w:val="0072669A"/>
    <w:rsid w:val="0073058E"/>
    <w:rsid w:val="007309C0"/>
    <w:rsid w:val="007321B4"/>
    <w:rsid w:val="00732F2E"/>
    <w:rsid w:val="007334C3"/>
    <w:rsid w:val="00733F7E"/>
    <w:rsid w:val="00735679"/>
    <w:rsid w:val="00735B29"/>
    <w:rsid w:val="00737E80"/>
    <w:rsid w:val="00740339"/>
    <w:rsid w:val="00740E77"/>
    <w:rsid w:val="0074244D"/>
    <w:rsid w:val="00742665"/>
    <w:rsid w:val="00742930"/>
    <w:rsid w:val="00743202"/>
    <w:rsid w:val="00743F77"/>
    <w:rsid w:val="00744B8B"/>
    <w:rsid w:val="00744F5C"/>
    <w:rsid w:val="0074547A"/>
    <w:rsid w:val="0074649D"/>
    <w:rsid w:val="007533D9"/>
    <w:rsid w:val="007535A2"/>
    <w:rsid w:val="0075394A"/>
    <w:rsid w:val="00753C79"/>
    <w:rsid w:val="00754328"/>
    <w:rsid w:val="0075463E"/>
    <w:rsid w:val="007554A1"/>
    <w:rsid w:val="00755C00"/>
    <w:rsid w:val="00755C18"/>
    <w:rsid w:val="007561D1"/>
    <w:rsid w:val="00756CD6"/>
    <w:rsid w:val="00757359"/>
    <w:rsid w:val="00757BB7"/>
    <w:rsid w:val="00757D2F"/>
    <w:rsid w:val="0076111D"/>
    <w:rsid w:val="007628E3"/>
    <w:rsid w:val="0076540A"/>
    <w:rsid w:val="007655D8"/>
    <w:rsid w:val="00766235"/>
    <w:rsid w:val="00766289"/>
    <w:rsid w:val="007673AA"/>
    <w:rsid w:val="0076776F"/>
    <w:rsid w:val="00767C58"/>
    <w:rsid w:val="00767E21"/>
    <w:rsid w:val="00767E66"/>
    <w:rsid w:val="00770941"/>
    <w:rsid w:val="00770F1D"/>
    <w:rsid w:val="00771BF6"/>
    <w:rsid w:val="007727DA"/>
    <w:rsid w:val="00772D9C"/>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5B9A"/>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24C"/>
    <w:rsid w:val="007D46C3"/>
    <w:rsid w:val="007D4B4F"/>
    <w:rsid w:val="007D663B"/>
    <w:rsid w:val="007D6A53"/>
    <w:rsid w:val="007D7BFA"/>
    <w:rsid w:val="007E3AD6"/>
    <w:rsid w:val="007E43BA"/>
    <w:rsid w:val="007E44CC"/>
    <w:rsid w:val="007E5162"/>
    <w:rsid w:val="007E555D"/>
    <w:rsid w:val="007E5A0D"/>
    <w:rsid w:val="007E63C9"/>
    <w:rsid w:val="007E6785"/>
    <w:rsid w:val="007E76F8"/>
    <w:rsid w:val="007E78E7"/>
    <w:rsid w:val="007F1B38"/>
    <w:rsid w:val="007F1BFD"/>
    <w:rsid w:val="007F1E29"/>
    <w:rsid w:val="007F2265"/>
    <w:rsid w:val="007F2AA5"/>
    <w:rsid w:val="007F39E8"/>
    <w:rsid w:val="007F4113"/>
    <w:rsid w:val="007F4FE8"/>
    <w:rsid w:val="007F5895"/>
    <w:rsid w:val="007F5B83"/>
    <w:rsid w:val="007F69A1"/>
    <w:rsid w:val="007F6ADD"/>
    <w:rsid w:val="008013C3"/>
    <w:rsid w:val="00801EA7"/>
    <w:rsid w:val="00803DC4"/>
    <w:rsid w:val="00804ED9"/>
    <w:rsid w:val="0080605A"/>
    <w:rsid w:val="0080629B"/>
    <w:rsid w:val="00806730"/>
    <w:rsid w:val="00806828"/>
    <w:rsid w:val="00807677"/>
    <w:rsid w:val="00807DA0"/>
    <w:rsid w:val="008103EA"/>
    <w:rsid w:val="00810598"/>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19F7"/>
    <w:rsid w:val="00833155"/>
    <w:rsid w:val="008332EC"/>
    <w:rsid w:val="0083361D"/>
    <w:rsid w:val="008345C6"/>
    <w:rsid w:val="00834B97"/>
    <w:rsid w:val="008355B0"/>
    <w:rsid w:val="00837153"/>
    <w:rsid w:val="008374B8"/>
    <w:rsid w:val="00837A80"/>
    <w:rsid w:val="00840819"/>
    <w:rsid w:val="00841618"/>
    <w:rsid w:val="00841BC2"/>
    <w:rsid w:val="00842316"/>
    <w:rsid w:val="00842B46"/>
    <w:rsid w:val="00842C6B"/>
    <w:rsid w:val="00843393"/>
    <w:rsid w:val="00843BD4"/>
    <w:rsid w:val="00845009"/>
    <w:rsid w:val="0084584D"/>
    <w:rsid w:val="008471B7"/>
    <w:rsid w:val="00850E66"/>
    <w:rsid w:val="0085183E"/>
    <w:rsid w:val="00851F1C"/>
    <w:rsid w:val="00852499"/>
    <w:rsid w:val="00853050"/>
    <w:rsid w:val="0085332D"/>
    <w:rsid w:val="008545FE"/>
    <w:rsid w:val="00855019"/>
    <w:rsid w:val="00856F1E"/>
    <w:rsid w:val="00857600"/>
    <w:rsid w:val="00861C05"/>
    <w:rsid w:val="00862D36"/>
    <w:rsid w:val="00863171"/>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218A"/>
    <w:rsid w:val="00884341"/>
    <w:rsid w:val="00884D26"/>
    <w:rsid w:val="008863D9"/>
    <w:rsid w:val="00887F82"/>
    <w:rsid w:val="008911A1"/>
    <w:rsid w:val="00891D3D"/>
    <w:rsid w:val="008937F8"/>
    <w:rsid w:val="00893DD5"/>
    <w:rsid w:val="00894D26"/>
    <w:rsid w:val="00895331"/>
    <w:rsid w:val="0089541C"/>
    <w:rsid w:val="0089606D"/>
    <w:rsid w:val="00896BAB"/>
    <w:rsid w:val="00896BFA"/>
    <w:rsid w:val="008975D1"/>
    <w:rsid w:val="008A0A4A"/>
    <w:rsid w:val="008A0FC1"/>
    <w:rsid w:val="008A25D3"/>
    <w:rsid w:val="008A285E"/>
    <w:rsid w:val="008A2B37"/>
    <w:rsid w:val="008A2FF7"/>
    <w:rsid w:val="008A38F3"/>
    <w:rsid w:val="008A3D9C"/>
    <w:rsid w:val="008A5F2B"/>
    <w:rsid w:val="008A675E"/>
    <w:rsid w:val="008A778E"/>
    <w:rsid w:val="008B034E"/>
    <w:rsid w:val="008B0C7A"/>
    <w:rsid w:val="008B1F6A"/>
    <w:rsid w:val="008B317F"/>
    <w:rsid w:val="008B4C84"/>
    <w:rsid w:val="008B590D"/>
    <w:rsid w:val="008B7337"/>
    <w:rsid w:val="008C0AFC"/>
    <w:rsid w:val="008C1EEC"/>
    <w:rsid w:val="008C2ADE"/>
    <w:rsid w:val="008C30AE"/>
    <w:rsid w:val="008C315B"/>
    <w:rsid w:val="008C33C2"/>
    <w:rsid w:val="008C3721"/>
    <w:rsid w:val="008C5A9F"/>
    <w:rsid w:val="008C5F5F"/>
    <w:rsid w:val="008C659D"/>
    <w:rsid w:val="008D0568"/>
    <w:rsid w:val="008D2904"/>
    <w:rsid w:val="008D3C99"/>
    <w:rsid w:val="008D3ECE"/>
    <w:rsid w:val="008D46CE"/>
    <w:rsid w:val="008D7F7E"/>
    <w:rsid w:val="008E005A"/>
    <w:rsid w:val="008E0ED1"/>
    <w:rsid w:val="008E1075"/>
    <w:rsid w:val="008E2274"/>
    <w:rsid w:val="008E2363"/>
    <w:rsid w:val="008E2EDD"/>
    <w:rsid w:val="008E4462"/>
    <w:rsid w:val="008E5AAC"/>
    <w:rsid w:val="008E6B18"/>
    <w:rsid w:val="008E7511"/>
    <w:rsid w:val="008E7EE9"/>
    <w:rsid w:val="008F1D32"/>
    <w:rsid w:val="008F29AD"/>
    <w:rsid w:val="008F4240"/>
    <w:rsid w:val="008F4E72"/>
    <w:rsid w:val="008F6020"/>
    <w:rsid w:val="008F6333"/>
    <w:rsid w:val="008F7C8A"/>
    <w:rsid w:val="00900A03"/>
    <w:rsid w:val="00900A13"/>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58D"/>
    <w:rsid w:val="00916731"/>
    <w:rsid w:val="009177D2"/>
    <w:rsid w:val="009203B0"/>
    <w:rsid w:val="00921E24"/>
    <w:rsid w:val="00922580"/>
    <w:rsid w:val="00923904"/>
    <w:rsid w:val="00924167"/>
    <w:rsid w:val="0092652E"/>
    <w:rsid w:val="00927081"/>
    <w:rsid w:val="00927AA5"/>
    <w:rsid w:val="00931FE0"/>
    <w:rsid w:val="00932986"/>
    <w:rsid w:val="00932F45"/>
    <w:rsid w:val="00933126"/>
    <w:rsid w:val="00934C2C"/>
    <w:rsid w:val="009352E1"/>
    <w:rsid w:val="00936AFE"/>
    <w:rsid w:val="009410C1"/>
    <w:rsid w:val="009430B2"/>
    <w:rsid w:val="00943230"/>
    <w:rsid w:val="00944882"/>
    <w:rsid w:val="00945965"/>
    <w:rsid w:val="00945F2D"/>
    <w:rsid w:val="00952904"/>
    <w:rsid w:val="00953299"/>
    <w:rsid w:val="009533EA"/>
    <w:rsid w:val="00953EA5"/>
    <w:rsid w:val="009544CC"/>
    <w:rsid w:val="009547EC"/>
    <w:rsid w:val="00955290"/>
    <w:rsid w:val="00956081"/>
    <w:rsid w:val="00956A92"/>
    <w:rsid w:val="0096160D"/>
    <w:rsid w:val="009635B9"/>
    <w:rsid w:val="0096366C"/>
    <w:rsid w:val="0096622C"/>
    <w:rsid w:val="00966C59"/>
    <w:rsid w:val="009676F8"/>
    <w:rsid w:val="009701D3"/>
    <w:rsid w:val="00970397"/>
    <w:rsid w:val="0097225F"/>
    <w:rsid w:val="00973A17"/>
    <w:rsid w:val="0097597F"/>
    <w:rsid w:val="00975EEB"/>
    <w:rsid w:val="00976411"/>
    <w:rsid w:val="00976CEF"/>
    <w:rsid w:val="009772EB"/>
    <w:rsid w:val="009774CE"/>
    <w:rsid w:val="009774E9"/>
    <w:rsid w:val="009776A3"/>
    <w:rsid w:val="00977818"/>
    <w:rsid w:val="00977BAB"/>
    <w:rsid w:val="00977CEF"/>
    <w:rsid w:val="00980AA9"/>
    <w:rsid w:val="00980ED4"/>
    <w:rsid w:val="0098119F"/>
    <w:rsid w:val="00981517"/>
    <w:rsid w:val="009819B7"/>
    <w:rsid w:val="00981CF9"/>
    <w:rsid w:val="0098333D"/>
    <w:rsid w:val="009841F0"/>
    <w:rsid w:val="00984DB5"/>
    <w:rsid w:val="00984EE8"/>
    <w:rsid w:val="0098611E"/>
    <w:rsid w:val="009870E1"/>
    <w:rsid w:val="0098766C"/>
    <w:rsid w:val="00987D82"/>
    <w:rsid w:val="00987E61"/>
    <w:rsid w:val="00990867"/>
    <w:rsid w:val="00991F86"/>
    <w:rsid w:val="009933E2"/>
    <w:rsid w:val="009945F0"/>
    <w:rsid w:val="0099561C"/>
    <w:rsid w:val="00995764"/>
    <w:rsid w:val="00995A7C"/>
    <w:rsid w:val="00996069"/>
    <w:rsid w:val="009962DF"/>
    <w:rsid w:val="00996B36"/>
    <w:rsid w:val="00996CCF"/>
    <w:rsid w:val="00997189"/>
    <w:rsid w:val="009A087B"/>
    <w:rsid w:val="009A0F15"/>
    <w:rsid w:val="009A1FDC"/>
    <w:rsid w:val="009A293D"/>
    <w:rsid w:val="009A2F0E"/>
    <w:rsid w:val="009A35F1"/>
    <w:rsid w:val="009A4E53"/>
    <w:rsid w:val="009A6801"/>
    <w:rsid w:val="009A775B"/>
    <w:rsid w:val="009B03A9"/>
    <w:rsid w:val="009B06DB"/>
    <w:rsid w:val="009B0F1D"/>
    <w:rsid w:val="009B17B0"/>
    <w:rsid w:val="009B1C54"/>
    <w:rsid w:val="009B1EA2"/>
    <w:rsid w:val="009B23D6"/>
    <w:rsid w:val="009B293E"/>
    <w:rsid w:val="009B2ABD"/>
    <w:rsid w:val="009B2BAC"/>
    <w:rsid w:val="009B496D"/>
    <w:rsid w:val="009B650A"/>
    <w:rsid w:val="009C107C"/>
    <w:rsid w:val="009C2060"/>
    <w:rsid w:val="009C32E1"/>
    <w:rsid w:val="009C3C78"/>
    <w:rsid w:val="009C550B"/>
    <w:rsid w:val="009C74C7"/>
    <w:rsid w:val="009D0220"/>
    <w:rsid w:val="009D0D2C"/>
    <w:rsid w:val="009D0D57"/>
    <w:rsid w:val="009D161A"/>
    <w:rsid w:val="009D17FF"/>
    <w:rsid w:val="009D1B3D"/>
    <w:rsid w:val="009D302B"/>
    <w:rsid w:val="009D3546"/>
    <w:rsid w:val="009D3917"/>
    <w:rsid w:val="009D462F"/>
    <w:rsid w:val="009D466C"/>
    <w:rsid w:val="009D4832"/>
    <w:rsid w:val="009D5B0C"/>
    <w:rsid w:val="009D5CB7"/>
    <w:rsid w:val="009D7D9B"/>
    <w:rsid w:val="009D7E18"/>
    <w:rsid w:val="009E0162"/>
    <w:rsid w:val="009E25C2"/>
    <w:rsid w:val="009E31BE"/>
    <w:rsid w:val="009E36A8"/>
    <w:rsid w:val="009E5CE7"/>
    <w:rsid w:val="009E5DF4"/>
    <w:rsid w:val="009E6064"/>
    <w:rsid w:val="009E71A7"/>
    <w:rsid w:val="009E75B5"/>
    <w:rsid w:val="009F099B"/>
    <w:rsid w:val="009F0C3A"/>
    <w:rsid w:val="009F143F"/>
    <w:rsid w:val="009F152E"/>
    <w:rsid w:val="009F1FCB"/>
    <w:rsid w:val="009F2894"/>
    <w:rsid w:val="009F3277"/>
    <w:rsid w:val="009F3F3B"/>
    <w:rsid w:val="009F5C4A"/>
    <w:rsid w:val="009F649D"/>
    <w:rsid w:val="009F6886"/>
    <w:rsid w:val="009F6F3E"/>
    <w:rsid w:val="009F7435"/>
    <w:rsid w:val="009F761F"/>
    <w:rsid w:val="009F7C13"/>
    <w:rsid w:val="00A00518"/>
    <w:rsid w:val="00A01397"/>
    <w:rsid w:val="00A02067"/>
    <w:rsid w:val="00A0299A"/>
    <w:rsid w:val="00A03EDF"/>
    <w:rsid w:val="00A04464"/>
    <w:rsid w:val="00A07772"/>
    <w:rsid w:val="00A07F01"/>
    <w:rsid w:val="00A104FF"/>
    <w:rsid w:val="00A106F7"/>
    <w:rsid w:val="00A11BF7"/>
    <w:rsid w:val="00A12F53"/>
    <w:rsid w:val="00A13C9E"/>
    <w:rsid w:val="00A1407A"/>
    <w:rsid w:val="00A1685E"/>
    <w:rsid w:val="00A1767C"/>
    <w:rsid w:val="00A178D0"/>
    <w:rsid w:val="00A23DFA"/>
    <w:rsid w:val="00A24C2D"/>
    <w:rsid w:val="00A24E75"/>
    <w:rsid w:val="00A26612"/>
    <w:rsid w:val="00A27A2C"/>
    <w:rsid w:val="00A302B3"/>
    <w:rsid w:val="00A306FA"/>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2DAE"/>
    <w:rsid w:val="00A4314D"/>
    <w:rsid w:val="00A44BEA"/>
    <w:rsid w:val="00A47337"/>
    <w:rsid w:val="00A5007F"/>
    <w:rsid w:val="00A51424"/>
    <w:rsid w:val="00A52035"/>
    <w:rsid w:val="00A52122"/>
    <w:rsid w:val="00A522AE"/>
    <w:rsid w:val="00A52E98"/>
    <w:rsid w:val="00A5364D"/>
    <w:rsid w:val="00A5459F"/>
    <w:rsid w:val="00A54B2D"/>
    <w:rsid w:val="00A55B66"/>
    <w:rsid w:val="00A56572"/>
    <w:rsid w:val="00A60442"/>
    <w:rsid w:val="00A604FF"/>
    <w:rsid w:val="00A612E4"/>
    <w:rsid w:val="00A62763"/>
    <w:rsid w:val="00A6302A"/>
    <w:rsid w:val="00A6349C"/>
    <w:rsid w:val="00A63861"/>
    <w:rsid w:val="00A64429"/>
    <w:rsid w:val="00A6455A"/>
    <w:rsid w:val="00A65830"/>
    <w:rsid w:val="00A65B52"/>
    <w:rsid w:val="00A660CF"/>
    <w:rsid w:val="00A66409"/>
    <w:rsid w:val="00A66AF4"/>
    <w:rsid w:val="00A7270F"/>
    <w:rsid w:val="00A727A4"/>
    <w:rsid w:val="00A73990"/>
    <w:rsid w:val="00A742A8"/>
    <w:rsid w:val="00A74469"/>
    <w:rsid w:val="00A74D95"/>
    <w:rsid w:val="00A764CF"/>
    <w:rsid w:val="00A772EF"/>
    <w:rsid w:val="00A776C7"/>
    <w:rsid w:val="00A803F2"/>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555"/>
    <w:rsid w:val="00A96BC7"/>
    <w:rsid w:val="00AA1108"/>
    <w:rsid w:val="00AA2A02"/>
    <w:rsid w:val="00AA3782"/>
    <w:rsid w:val="00AA5C3E"/>
    <w:rsid w:val="00AA6BF3"/>
    <w:rsid w:val="00AA727D"/>
    <w:rsid w:val="00AA7C27"/>
    <w:rsid w:val="00AB0CF4"/>
    <w:rsid w:val="00AB1972"/>
    <w:rsid w:val="00AB2A0E"/>
    <w:rsid w:val="00AB2E13"/>
    <w:rsid w:val="00AB3997"/>
    <w:rsid w:val="00AB58F9"/>
    <w:rsid w:val="00AB5C94"/>
    <w:rsid w:val="00AB72EA"/>
    <w:rsid w:val="00AB755E"/>
    <w:rsid w:val="00AB7DE4"/>
    <w:rsid w:val="00AC03F9"/>
    <w:rsid w:val="00AC05C4"/>
    <w:rsid w:val="00AC15BB"/>
    <w:rsid w:val="00AC1CAB"/>
    <w:rsid w:val="00AC1F16"/>
    <w:rsid w:val="00AC2905"/>
    <w:rsid w:val="00AC37B8"/>
    <w:rsid w:val="00AC384E"/>
    <w:rsid w:val="00AC552D"/>
    <w:rsid w:val="00AC7124"/>
    <w:rsid w:val="00AD1321"/>
    <w:rsid w:val="00AD1692"/>
    <w:rsid w:val="00AD1852"/>
    <w:rsid w:val="00AD18D6"/>
    <w:rsid w:val="00AD1C8F"/>
    <w:rsid w:val="00AD1DE4"/>
    <w:rsid w:val="00AD355C"/>
    <w:rsid w:val="00AD3988"/>
    <w:rsid w:val="00AD3B14"/>
    <w:rsid w:val="00AD4BEA"/>
    <w:rsid w:val="00AD7DE9"/>
    <w:rsid w:val="00AE057C"/>
    <w:rsid w:val="00AE0D56"/>
    <w:rsid w:val="00AE12C0"/>
    <w:rsid w:val="00AE2CD8"/>
    <w:rsid w:val="00AE3031"/>
    <w:rsid w:val="00AE3A35"/>
    <w:rsid w:val="00AE4849"/>
    <w:rsid w:val="00AE4CCB"/>
    <w:rsid w:val="00AE5335"/>
    <w:rsid w:val="00AE6994"/>
    <w:rsid w:val="00AE72DB"/>
    <w:rsid w:val="00AE730D"/>
    <w:rsid w:val="00AE7326"/>
    <w:rsid w:val="00AF050F"/>
    <w:rsid w:val="00AF08DE"/>
    <w:rsid w:val="00AF1FAA"/>
    <w:rsid w:val="00AF2796"/>
    <w:rsid w:val="00AF4202"/>
    <w:rsid w:val="00AF6A72"/>
    <w:rsid w:val="00B01224"/>
    <w:rsid w:val="00B01F4E"/>
    <w:rsid w:val="00B020BE"/>
    <w:rsid w:val="00B025A1"/>
    <w:rsid w:val="00B02AC8"/>
    <w:rsid w:val="00B02E1E"/>
    <w:rsid w:val="00B03AE4"/>
    <w:rsid w:val="00B040A1"/>
    <w:rsid w:val="00B0421D"/>
    <w:rsid w:val="00B058A5"/>
    <w:rsid w:val="00B05EB4"/>
    <w:rsid w:val="00B12225"/>
    <w:rsid w:val="00B129D0"/>
    <w:rsid w:val="00B12C3D"/>
    <w:rsid w:val="00B134B2"/>
    <w:rsid w:val="00B13E3F"/>
    <w:rsid w:val="00B13F0B"/>
    <w:rsid w:val="00B15D42"/>
    <w:rsid w:val="00B23C21"/>
    <w:rsid w:val="00B23EDC"/>
    <w:rsid w:val="00B243F0"/>
    <w:rsid w:val="00B24975"/>
    <w:rsid w:val="00B24DE4"/>
    <w:rsid w:val="00B252F7"/>
    <w:rsid w:val="00B26232"/>
    <w:rsid w:val="00B26711"/>
    <w:rsid w:val="00B27BE3"/>
    <w:rsid w:val="00B31EAB"/>
    <w:rsid w:val="00B32274"/>
    <w:rsid w:val="00B35354"/>
    <w:rsid w:val="00B37699"/>
    <w:rsid w:val="00B377F6"/>
    <w:rsid w:val="00B37979"/>
    <w:rsid w:val="00B37A86"/>
    <w:rsid w:val="00B404AC"/>
    <w:rsid w:val="00B40727"/>
    <w:rsid w:val="00B41104"/>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09"/>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686"/>
    <w:rsid w:val="00B70F53"/>
    <w:rsid w:val="00B7156D"/>
    <w:rsid w:val="00B71639"/>
    <w:rsid w:val="00B723DF"/>
    <w:rsid w:val="00B7311D"/>
    <w:rsid w:val="00B73BD3"/>
    <w:rsid w:val="00B76D03"/>
    <w:rsid w:val="00B77E7E"/>
    <w:rsid w:val="00B77F05"/>
    <w:rsid w:val="00B8012C"/>
    <w:rsid w:val="00B80BF7"/>
    <w:rsid w:val="00B81D56"/>
    <w:rsid w:val="00B82048"/>
    <w:rsid w:val="00B828DB"/>
    <w:rsid w:val="00B8314E"/>
    <w:rsid w:val="00B83E9F"/>
    <w:rsid w:val="00B83F58"/>
    <w:rsid w:val="00B85C8A"/>
    <w:rsid w:val="00B85EE0"/>
    <w:rsid w:val="00B868F0"/>
    <w:rsid w:val="00B9003A"/>
    <w:rsid w:val="00B9099F"/>
    <w:rsid w:val="00B90B78"/>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C05A5"/>
    <w:rsid w:val="00BC21E1"/>
    <w:rsid w:val="00BC320D"/>
    <w:rsid w:val="00BC3A42"/>
    <w:rsid w:val="00BC4161"/>
    <w:rsid w:val="00BC6C4F"/>
    <w:rsid w:val="00BC71D8"/>
    <w:rsid w:val="00BD0394"/>
    <w:rsid w:val="00BD1B05"/>
    <w:rsid w:val="00BD28BC"/>
    <w:rsid w:val="00BD30C7"/>
    <w:rsid w:val="00BD3874"/>
    <w:rsid w:val="00BD3BC8"/>
    <w:rsid w:val="00BD4118"/>
    <w:rsid w:val="00BD56E2"/>
    <w:rsid w:val="00BD7072"/>
    <w:rsid w:val="00BD73B5"/>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5A85"/>
    <w:rsid w:val="00BF60D0"/>
    <w:rsid w:val="00BF674A"/>
    <w:rsid w:val="00BF6796"/>
    <w:rsid w:val="00BF718A"/>
    <w:rsid w:val="00BF7B74"/>
    <w:rsid w:val="00C008F8"/>
    <w:rsid w:val="00C00B46"/>
    <w:rsid w:val="00C01291"/>
    <w:rsid w:val="00C01B87"/>
    <w:rsid w:val="00C01F24"/>
    <w:rsid w:val="00C02428"/>
    <w:rsid w:val="00C030D7"/>
    <w:rsid w:val="00C034CE"/>
    <w:rsid w:val="00C0421A"/>
    <w:rsid w:val="00C044DB"/>
    <w:rsid w:val="00C04976"/>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131D"/>
    <w:rsid w:val="00C21451"/>
    <w:rsid w:val="00C24D7D"/>
    <w:rsid w:val="00C24DA1"/>
    <w:rsid w:val="00C27070"/>
    <w:rsid w:val="00C270E9"/>
    <w:rsid w:val="00C273E3"/>
    <w:rsid w:val="00C3036A"/>
    <w:rsid w:val="00C3036C"/>
    <w:rsid w:val="00C3096D"/>
    <w:rsid w:val="00C3233C"/>
    <w:rsid w:val="00C324F4"/>
    <w:rsid w:val="00C33ADE"/>
    <w:rsid w:val="00C33BD2"/>
    <w:rsid w:val="00C35037"/>
    <w:rsid w:val="00C37A93"/>
    <w:rsid w:val="00C412C3"/>
    <w:rsid w:val="00C41873"/>
    <w:rsid w:val="00C418C4"/>
    <w:rsid w:val="00C418E8"/>
    <w:rsid w:val="00C42308"/>
    <w:rsid w:val="00C446D7"/>
    <w:rsid w:val="00C51587"/>
    <w:rsid w:val="00C52A47"/>
    <w:rsid w:val="00C5325C"/>
    <w:rsid w:val="00C5342B"/>
    <w:rsid w:val="00C53434"/>
    <w:rsid w:val="00C54A4F"/>
    <w:rsid w:val="00C54DAD"/>
    <w:rsid w:val="00C54E91"/>
    <w:rsid w:val="00C55813"/>
    <w:rsid w:val="00C558FE"/>
    <w:rsid w:val="00C56308"/>
    <w:rsid w:val="00C564B4"/>
    <w:rsid w:val="00C57B25"/>
    <w:rsid w:val="00C60DD9"/>
    <w:rsid w:val="00C612FA"/>
    <w:rsid w:val="00C62AAE"/>
    <w:rsid w:val="00C63A08"/>
    <w:rsid w:val="00C64C4F"/>
    <w:rsid w:val="00C65985"/>
    <w:rsid w:val="00C6639D"/>
    <w:rsid w:val="00C71100"/>
    <w:rsid w:val="00C722F2"/>
    <w:rsid w:val="00C74360"/>
    <w:rsid w:val="00C75570"/>
    <w:rsid w:val="00C755CC"/>
    <w:rsid w:val="00C75FE8"/>
    <w:rsid w:val="00C7648D"/>
    <w:rsid w:val="00C76957"/>
    <w:rsid w:val="00C76BE1"/>
    <w:rsid w:val="00C76C19"/>
    <w:rsid w:val="00C76DCB"/>
    <w:rsid w:val="00C76E2C"/>
    <w:rsid w:val="00C80C04"/>
    <w:rsid w:val="00C8111F"/>
    <w:rsid w:val="00C81147"/>
    <w:rsid w:val="00C814CE"/>
    <w:rsid w:val="00C81770"/>
    <w:rsid w:val="00C826DB"/>
    <w:rsid w:val="00C83876"/>
    <w:rsid w:val="00C85A9D"/>
    <w:rsid w:val="00C875B4"/>
    <w:rsid w:val="00C90163"/>
    <w:rsid w:val="00C903FF"/>
    <w:rsid w:val="00C90824"/>
    <w:rsid w:val="00C912D9"/>
    <w:rsid w:val="00C968C3"/>
    <w:rsid w:val="00C970DC"/>
    <w:rsid w:val="00C97103"/>
    <w:rsid w:val="00C97E18"/>
    <w:rsid w:val="00CA09D3"/>
    <w:rsid w:val="00CA1788"/>
    <w:rsid w:val="00CA1E69"/>
    <w:rsid w:val="00CA2A8B"/>
    <w:rsid w:val="00CA2DFD"/>
    <w:rsid w:val="00CA3D6F"/>
    <w:rsid w:val="00CA3DAE"/>
    <w:rsid w:val="00CA40AF"/>
    <w:rsid w:val="00CA5C9B"/>
    <w:rsid w:val="00CA6209"/>
    <w:rsid w:val="00CA7347"/>
    <w:rsid w:val="00CA743F"/>
    <w:rsid w:val="00CB112F"/>
    <w:rsid w:val="00CB14F6"/>
    <w:rsid w:val="00CB1F98"/>
    <w:rsid w:val="00CB28EA"/>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AB4"/>
    <w:rsid w:val="00CD381A"/>
    <w:rsid w:val="00CD5B89"/>
    <w:rsid w:val="00CD5BE2"/>
    <w:rsid w:val="00CD6A30"/>
    <w:rsid w:val="00CD6C68"/>
    <w:rsid w:val="00CD7FEA"/>
    <w:rsid w:val="00CE4474"/>
    <w:rsid w:val="00CF0EDF"/>
    <w:rsid w:val="00CF12B7"/>
    <w:rsid w:val="00CF3694"/>
    <w:rsid w:val="00CF4B90"/>
    <w:rsid w:val="00CF52A2"/>
    <w:rsid w:val="00CF55BD"/>
    <w:rsid w:val="00CF7148"/>
    <w:rsid w:val="00CF7B71"/>
    <w:rsid w:val="00D0048F"/>
    <w:rsid w:val="00D00C64"/>
    <w:rsid w:val="00D01B04"/>
    <w:rsid w:val="00D0211D"/>
    <w:rsid w:val="00D032DC"/>
    <w:rsid w:val="00D03817"/>
    <w:rsid w:val="00D03B05"/>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644"/>
    <w:rsid w:val="00D438E1"/>
    <w:rsid w:val="00D43B8D"/>
    <w:rsid w:val="00D445C8"/>
    <w:rsid w:val="00D449F3"/>
    <w:rsid w:val="00D44E79"/>
    <w:rsid w:val="00D45121"/>
    <w:rsid w:val="00D4614A"/>
    <w:rsid w:val="00D47084"/>
    <w:rsid w:val="00D474C1"/>
    <w:rsid w:val="00D500B1"/>
    <w:rsid w:val="00D50424"/>
    <w:rsid w:val="00D510D6"/>
    <w:rsid w:val="00D51B02"/>
    <w:rsid w:val="00D51C08"/>
    <w:rsid w:val="00D523C6"/>
    <w:rsid w:val="00D5262B"/>
    <w:rsid w:val="00D5344D"/>
    <w:rsid w:val="00D54E02"/>
    <w:rsid w:val="00D5596F"/>
    <w:rsid w:val="00D55BCB"/>
    <w:rsid w:val="00D5618B"/>
    <w:rsid w:val="00D56CCB"/>
    <w:rsid w:val="00D56DF2"/>
    <w:rsid w:val="00D57C5F"/>
    <w:rsid w:val="00D60341"/>
    <w:rsid w:val="00D614BA"/>
    <w:rsid w:val="00D62D2C"/>
    <w:rsid w:val="00D655C4"/>
    <w:rsid w:val="00D65E49"/>
    <w:rsid w:val="00D66293"/>
    <w:rsid w:val="00D670F7"/>
    <w:rsid w:val="00D675A7"/>
    <w:rsid w:val="00D70CE5"/>
    <w:rsid w:val="00D7102E"/>
    <w:rsid w:val="00D71EDD"/>
    <w:rsid w:val="00D72B83"/>
    <w:rsid w:val="00D731AC"/>
    <w:rsid w:val="00D74DA9"/>
    <w:rsid w:val="00D74F9A"/>
    <w:rsid w:val="00D752B5"/>
    <w:rsid w:val="00D754AF"/>
    <w:rsid w:val="00D75AD7"/>
    <w:rsid w:val="00D76B6F"/>
    <w:rsid w:val="00D76C3F"/>
    <w:rsid w:val="00D77A98"/>
    <w:rsid w:val="00D80324"/>
    <w:rsid w:val="00D804AB"/>
    <w:rsid w:val="00D81178"/>
    <w:rsid w:val="00D815A0"/>
    <w:rsid w:val="00D81CC3"/>
    <w:rsid w:val="00D824EC"/>
    <w:rsid w:val="00D82ED2"/>
    <w:rsid w:val="00D83375"/>
    <w:rsid w:val="00D83504"/>
    <w:rsid w:val="00D83850"/>
    <w:rsid w:val="00D849A6"/>
    <w:rsid w:val="00D84E95"/>
    <w:rsid w:val="00D85EA0"/>
    <w:rsid w:val="00D86854"/>
    <w:rsid w:val="00D86DD0"/>
    <w:rsid w:val="00D87A91"/>
    <w:rsid w:val="00D87F67"/>
    <w:rsid w:val="00D87FD3"/>
    <w:rsid w:val="00D909D1"/>
    <w:rsid w:val="00D91575"/>
    <w:rsid w:val="00D91899"/>
    <w:rsid w:val="00D92A33"/>
    <w:rsid w:val="00D9319D"/>
    <w:rsid w:val="00D937BB"/>
    <w:rsid w:val="00D93E96"/>
    <w:rsid w:val="00D94298"/>
    <w:rsid w:val="00D94FDF"/>
    <w:rsid w:val="00DA12BE"/>
    <w:rsid w:val="00DA1D05"/>
    <w:rsid w:val="00DA1FF3"/>
    <w:rsid w:val="00DA2791"/>
    <w:rsid w:val="00DA279D"/>
    <w:rsid w:val="00DA6320"/>
    <w:rsid w:val="00DA670D"/>
    <w:rsid w:val="00DA6B15"/>
    <w:rsid w:val="00DA78DB"/>
    <w:rsid w:val="00DB0112"/>
    <w:rsid w:val="00DB0148"/>
    <w:rsid w:val="00DB0FBC"/>
    <w:rsid w:val="00DB2EE7"/>
    <w:rsid w:val="00DB3D1A"/>
    <w:rsid w:val="00DB3E15"/>
    <w:rsid w:val="00DB4702"/>
    <w:rsid w:val="00DB50DC"/>
    <w:rsid w:val="00DB56B3"/>
    <w:rsid w:val="00DB73EB"/>
    <w:rsid w:val="00DB79E3"/>
    <w:rsid w:val="00DC0224"/>
    <w:rsid w:val="00DC0331"/>
    <w:rsid w:val="00DC1A67"/>
    <w:rsid w:val="00DC1B67"/>
    <w:rsid w:val="00DC26C8"/>
    <w:rsid w:val="00DC2E0B"/>
    <w:rsid w:val="00DC3ED9"/>
    <w:rsid w:val="00DC426E"/>
    <w:rsid w:val="00DC4369"/>
    <w:rsid w:val="00DC4529"/>
    <w:rsid w:val="00DC4DB1"/>
    <w:rsid w:val="00DC4E5F"/>
    <w:rsid w:val="00DC6310"/>
    <w:rsid w:val="00DC73B7"/>
    <w:rsid w:val="00DD0C41"/>
    <w:rsid w:val="00DD1A79"/>
    <w:rsid w:val="00DD28AB"/>
    <w:rsid w:val="00DD2E3C"/>
    <w:rsid w:val="00DD327E"/>
    <w:rsid w:val="00DD34BD"/>
    <w:rsid w:val="00DD44C1"/>
    <w:rsid w:val="00DE0658"/>
    <w:rsid w:val="00DE106C"/>
    <w:rsid w:val="00DE3F0D"/>
    <w:rsid w:val="00DE44D0"/>
    <w:rsid w:val="00DE5070"/>
    <w:rsid w:val="00DE5345"/>
    <w:rsid w:val="00DE610B"/>
    <w:rsid w:val="00DE6CB8"/>
    <w:rsid w:val="00DE6FB0"/>
    <w:rsid w:val="00DE7BF7"/>
    <w:rsid w:val="00DE7C88"/>
    <w:rsid w:val="00DE7E7B"/>
    <w:rsid w:val="00DF1742"/>
    <w:rsid w:val="00DF1990"/>
    <w:rsid w:val="00DF2226"/>
    <w:rsid w:val="00DF23F3"/>
    <w:rsid w:val="00DF2520"/>
    <w:rsid w:val="00DF3952"/>
    <w:rsid w:val="00DF3C7A"/>
    <w:rsid w:val="00DF5ADF"/>
    <w:rsid w:val="00DF6BCF"/>
    <w:rsid w:val="00E0038F"/>
    <w:rsid w:val="00E00658"/>
    <w:rsid w:val="00E00BA8"/>
    <w:rsid w:val="00E01421"/>
    <w:rsid w:val="00E018AC"/>
    <w:rsid w:val="00E0452F"/>
    <w:rsid w:val="00E05302"/>
    <w:rsid w:val="00E055C0"/>
    <w:rsid w:val="00E06996"/>
    <w:rsid w:val="00E0799A"/>
    <w:rsid w:val="00E1001F"/>
    <w:rsid w:val="00E118C2"/>
    <w:rsid w:val="00E11E75"/>
    <w:rsid w:val="00E139D3"/>
    <w:rsid w:val="00E15630"/>
    <w:rsid w:val="00E156E3"/>
    <w:rsid w:val="00E15854"/>
    <w:rsid w:val="00E20149"/>
    <w:rsid w:val="00E20684"/>
    <w:rsid w:val="00E217DA"/>
    <w:rsid w:val="00E22060"/>
    <w:rsid w:val="00E220BC"/>
    <w:rsid w:val="00E224CB"/>
    <w:rsid w:val="00E228A6"/>
    <w:rsid w:val="00E25FBE"/>
    <w:rsid w:val="00E2633E"/>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7B37"/>
    <w:rsid w:val="00E47BE2"/>
    <w:rsid w:val="00E50D4D"/>
    <w:rsid w:val="00E51564"/>
    <w:rsid w:val="00E51B9F"/>
    <w:rsid w:val="00E5284E"/>
    <w:rsid w:val="00E549C1"/>
    <w:rsid w:val="00E555F4"/>
    <w:rsid w:val="00E5561E"/>
    <w:rsid w:val="00E568AD"/>
    <w:rsid w:val="00E603DC"/>
    <w:rsid w:val="00E60651"/>
    <w:rsid w:val="00E614D5"/>
    <w:rsid w:val="00E61B18"/>
    <w:rsid w:val="00E62682"/>
    <w:rsid w:val="00E6476A"/>
    <w:rsid w:val="00E64CCF"/>
    <w:rsid w:val="00E668BE"/>
    <w:rsid w:val="00E676CD"/>
    <w:rsid w:val="00E679F0"/>
    <w:rsid w:val="00E67DD5"/>
    <w:rsid w:val="00E70235"/>
    <w:rsid w:val="00E74040"/>
    <w:rsid w:val="00E74B8A"/>
    <w:rsid w:val="00E753F9"/>
    <w:rsid w:val="00E7720E"/>
    <w:rsid w:val="00E77928"/>
    <w:rsid w:val="00E80066"/>
    <w:rsid w:val="00E8041B"/>
    <w:rsid w:val="00E81935"/>
    <w:rsid w:val="00E8228B"/>
    <w:rsid w:val="00E84072"/>
    <w:rsid w:val="00E84F7F"/>
    <w:rsid w:val="00E85570"/>
    <w:rsid w:val="00E859A3"/>
    <w:rsid w:val="00E85AEE"/>
    <w:rsid w:val="00E86EA3"/>
    <w:rsid w:val="00E87009"/>
    <w:rsid w:val="00E9087D"/>
    <w:rsid w:val="00E92937"/>
    <w:rsid w:val="00E931C3"/>
    <w:rsid w:val="00E93EF7"/>
    <w:rsid w:val="00E94174"/>
    <w:rsid w:val="00E95DE9"/>
    <w:rsid w:val="00E96141"/>
    <w:rsid w:val="00E96623"/>
    <w:rsid w:val="00EA0371"/>
    <w:rsid w:val="00EA0390"/>
    <w:rsid w:val="00EA399C"/>
    <w:rsid w:val="00EA4DBD"/>
    <w:rsid w:val="00EA6E84"/>
    <w:rsid w:val="00EB1BF8"/>
    <w:rsid w:val="00EB2CEE"/>
    <w:rsid w:val="00EB4116"/>
    <w:rsid w:val="00EB5812"/>
    <w:rsid w:val="00EB5E58"/>
    <w:rsid w:val="00EB60B3"/>
    <w:rsid w:val="00EB63DE"/>
    <w:rsid w:val="00EC1F64"/>
    <w:rsid w:val="00EC2B1A"/>
    <w:rsid w:val="00EC4D82"/>
    <w:rsid w:val="00EC508A"/>
    <w:rsid w:val="00EC50F1"/>
    <w:rsid w:val="00EC59F2"/>
    <w:rsid w:val="00EC5B92"/>
    <w:rsid w:val="00EC736A"/>
    <w:rsid w:val="00EC7654"/>
    <w:rsid w:val="00EC7734"/>
    <w:rsid w:val="00ED15DC"/>
    <w:rsid w:val="00ED3A27"/>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E03"/>
    <w:rsid w:val="00EE7FAB"/>
    <w:rsid w:val="00EF0C99"/>
    <w:rsid w:val="00EF219B"/>
    <w:rsid w:val="00EF2D2C"/>
    <w:rsid w:val="00EF3C96"/>
    <w:rsid w:val="00EF5250"/>
    <w:rsid w:val="00EF53CE"/>
    <w:rsid w:val="00EF6409"/>
    <w:rsid w:val="00EF7910"/>
    <w:rsid w:val="00F00492"/>
    <w:rsid w:val="00F00D3A"/>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85B"/>
    <w:rsid w:val="00F16A7E"/>
    <w:rsid w:val="00F2055D"/>
    <w:rsid w:val="00F20637"/>
    <w:rsid w:val="00F2173C"/>
    <w:rsid w:val="00F2373A"/>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711D"/>
    <w:rsid w:val="00F37C3A"/>
    <w:rsid w:val="00F37FBB"/>
    <w:rsid w:val="00F4197B"/>
    <w:rsid w:val="00F429AD"/>
    <w:rsid w:val="00F42A4F"/>
    <w:rsid w:val="00F43279"/>
    <w:rsid w:val="00F442A9"/>
    <w:rsid w:val="00F454F8"/>
    <w:rsid w:val="00F45B42"/>
    <w:rsid w:val="00F45C71"/>
    <w:rsid w:val="00F46BFD"/>
    <w:rsid w:val="00F47146"/>
    <w:rsid w:val="00F506B6"/>
    <w:rsid w:val="00F513E4"/>
    <w:rsid w:val="00F51421"/>
    <w:rsid w:val="00F516CA"/>
    <w:rsid w:val="00F539A0"/>
    <w:rsid w:val="00F549B5"/>
    <w:rsid w:val="00F5634A"/>
    <w:rsid w:val="00F56817"/>
    <w:rsid w:val="00F57131"/>
    <w:rsid w:val="00F60383"/>
    <w:rsid w:val="00F616F3"/>
    <w:rsid w:val="00F61EB9"/>
    <w:rsid w:val="00F621F6"/>
    <w:rsid w:val="00F629E8"/>
    <w:rsid w:val="00F62A97"/>
    <w:rsid w:val="00F63BF3"/>
    <w:rsid w:val="00F64122"/>
    <w:rsid w:val="00F65E70"/>
    <w:rsid w:val="00F66940"/>
    <w:rsid w:val="00F66C3F"/>
    <w:rsid w:val="00F70206"/>
    <w:rsid w:val="00F710CE"/>
    <w:rsid w:val="00F722EE"/>
    <w:rsid w:val="00F73144"/>
    <w:rsid w:val="00F733CC"/>
    <w:rsid w:val="00F75557"/>
    <w:rsid w:val="00F75BE9"/>
    <w:rsid w:val="00F80305"/>
    <w:rsid w:val="00F805A6"/>
    <w:rsid w:val="00F80D9A"/>
    <w:rsid w:val="00F81342"/>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A1155"/>
    <w:rsid w:val="00FA11B5"/>
    <w:rsid w:val="00FA2022"/>
    <w:rsid w:val="00FA2467"/>
    <w:rsid w:val="00FA272D"/>
    <w:rsid w:val="00FA290B"/>
    <w:rsid w:val="00FA2EF8"/>
    <w:rsid w:val="00FA37B7"/>
    <w:rsid w:val="00FA42FC"/>
    <w:rsid w:val="00FA448E"/>
    <w:rsid w:val="00FA4DA0"/>
    <w:rsid w:val="00FA5E38"/>
    <w:rsid w:val="00FA723F"/>
    <w:rsid w:val="00FB1093"/>
    <w:rsid w:val="00FB1461"/>
    <w:rsid w:val="00FB2D0D"/>
    <w:rsid w:val="00FB3451"/>
    <w:rsid w:val="00FB39BE"/>
    <w:rsid w:val="00FB3AAC"/>
    <w:rsid w:val="00FB4417"/>
    <w:rsid w:val="00FB7893"/>
    <w:rsid w:val="00FC277D"/>
    <w:rsid w:val="00FC31FB"/>
    <w:rsid w:val="00FC3D54"/>
    <w:rsid w:val="00FC41D7"/>
    <w:rsid w:val="00FC4A0B"/>
    <w:rsid w:val="00FC5481"/>
    <w:rsid w:val="00FC65E0"/>
    <w:rsid w:val="00FC70D2"/>
    <w:rsid w:val="00FC74EF"/>
    <w:rsid w:val="00FD0EC8"/>
    <w:rsid w:val="00FD2E6D"/>
    <w:rsid w:val="00FD2FFB"/>
    <w:rsid w:val="00FD319A"/>
    <w:rsid w:val="00FD3C10"/>
    <w:rsid w:val="00FD4236"/>
    <w:rsid w:val="00FD498D"/>
    <w:rsid w:val="00FD5B4B"/>
    <w:rsid w:val="00FD5CA0"/>
    <w:rsid w:val="00FD7062"/>
    <w:rsid w:val="00FE1196"/>
    <w:rsid w:val="00FE2388"/>
    <w:rsid w:val="00FE30E0"/>
    <w:rsid w:val="00FE3C1E"/>
    <w:rsid w:val="00FE4A28"/>
    <w:rsid w:val="00FE5626"/>
    <w:rsid w:val="00FE5630"/>
    <w:rsid w:val="00FE5FD4"/>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4411C411-86AF-4A18-A24D-882F3B347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73AA"/>
    <w:pPr>
      <w:widowControl w:val="0"/>
      <w:jc w:val="both"/>
    </w:pPr>
    <w:rPr>
      <w:rFonts w:ascii="CG Times (WN)" w:eastAsia="宋体" w:hAnsi="CG Times (W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C33ADE"/>
    <w:pPr>
      <w:keepNext/>
      <w:widowControl/>
      <w:tabs>
        <w:tab w:val="num" w:pos="432"/>
      </w:tabs>
      <w:autoSpaceDE w:val="0"/>
      <w:autoSpaceDN w:val="0"/>
      <w:adjustRightInd w:val="0"/>
      <w:snapToGrid w:val="0"/>
      <w:spacing w:before="120" w:after="120"/>
      <w:ind w:left="432" w:hanging="432"/>
      <w:outlineLvl w:val="0"/>
    </w:pPr>
    <w:rPr>
      <w:rFonts w:ascii="Times New Roman" w:hAnsi="Times New Roman"/>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unhideWhenUsed/>
    <w:qFormat/>
    <w:rsid w:val="003E7F0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link w:val="4Char"/>
    <w:qFormat/>
    <w:rsid w:val="00C33ADE"/>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aliases w:val="h5,Heading5,Head5,H5,M5,mh2,Module heading 2,heading 8,Numbered Sub-list,Heading 81"/>
    <w:basedOn w:val="a"/>
    <w:next w:val="a"/>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
    <w:next w:val="a"/>
    <w:link w:val="6Char"/>
    <w:qFormat/>
    <w:rsid w:val="00C33ADE"/>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Char"/>
    <w:qFormat/>
    <w:rsid w:val="00C33ADE"/>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Char"/>
    <w:qFormat/>
    <w:rsid w:val="00C33ADE"/>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aliases w:val="Figure Heading,FH"/>
    <w:basedOn w:val="a"/>
    <w:next w:val="a"/>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2"/>
    <w:uiPriority w:val="34"/>
    <w:qFormat/>
    <w:rsid w:val="00D5618B"/>
    <w:pPr>
      <w:ind w:firstLineChars="200" w:firstLine="420"/>
    </w:pPr>
  </w:style>
  <w:style w:type="paragraph" w:styleId="a8">
    <w:name w:val="Balloon Text"/>
    <w:basedOn w:val="a"/>
    <w:link w:val="Char3"/>
    <w:uiPriority w:val="99"/>
    <w:semiHidden/>
    <w:unhideWhenUsed/>
    <w:rsid w:val="00D5618B"/>
    <w:rPr>
      <w:sz w:val="18"/>
      <w:szCs w:val="18"/>
    </w:rPr>
  </w:style>
  <w:style w:type="character" w:customStyle="1" w:styleId="Char3">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unhideWhenUsed/>
    <w:qFormat/>
    <w:rsid w:val="00944882"/>
    <w:rPr>
      <w:sz w:val="21"/>
      <w:szCs w:val="21"/>
    </w:rPr>
  </w:style>
  <w:style w:type="paragraph" w:styleId="ac">
    <w:name w:val="annotation text"/>
    <w:basedOn w:val="a"/>
    <w:link w:val="Char4"/>
    <w:unhideWhenUsed/>
    <w:rsid w:val="00944882"/>
    <w:pPr>
      <w:jc w:val="left"/>
    </w:pPr>
  </w:style>
  <w:style w:type="character" w:customStyle="1" w:styleId="Char4">
    <w:name w:val="批注文字 Char"/>
    <w:basedOn w:val="a0"/>
    <w:link w:val="ac"/>
    <w:rsid w:val="00944882"/>
    <w:rPr>
      <w:rFonts w:ascii="CG Times (WN)" w:eastAsia="宋体" w:hAnsi="CG Times (WN)" w:cs="Times New Roman"/>
    </w:rPr>
  </w:style>
  <w:style w:type="paragraph" w:styleId="ad">
    <w:name w:val="annotation subject"/>
    <w:basedOn w:val="ac"/>
    <w:next w:val="ac"/>
    <w:link w:val="Char5"/>
    <w:uiPriority w:val="99"/>
    <w:semiHidden/>
    <w:unhideWhenUsed/>
    <w:rsid w:val="00944882"/>
    <w:rPr>
      <w:b/>
      <w:bCs/>
    </w:rPr>
  </w:style>
  <w:style w:type="character" w:customStyle="1" w:styleId="Char5">
    <w:name w:val="批注主题 Char"/>
    <w:basedOn w:val="Char4"/>
    <w:link w:val="ad"/>
    <w:uiPriority w:val="99"/>
    <w:semiHidden/>
    <w:rsid w:val="00944882"/>
    <w:rPr>
      <w:rFonts w:ascii="CG Times (WN)" w:eastAsia="宋体" w:hAnsi="CG Times (WN)" w:cs="Times New Roman"/>
      <w:b/>
      <w:bCs/>
    </w:rPr>
  </w:style>
  <w:style w:type="paragraph" w:styleId="ae">
    <w:name w:val="Document Map"/>
    <w:basedOn w:val="a"/>
    <w:link w:val="Char6"/>
    <w:uiPriority w:val="99"/>
    <w:semiHidden/>
    <w:unhideWhenUsed/>
    <w:rsid w:val="00791112"/>
    <w:rPr>
      <w:rFonts w:ascii="宋体"/>
      <w:sz w:val="18"/>
      <w:szCs w:val="18"/>
    </w:rPr>
  </w:style>
  <w:style w:type="character" w:customStyle="1" w:styleId="Char6">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7"/>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uiPriority w:val="9"/>
    <w:rsid w:val="00A42CA4"/>
    <w:rPr>
      <w:rFonts w:asciiTheme="majorHAnsi" w:eastAsiaTheme="majorEastAsia" w:hAnsiTheme="majorHAnsi" w:cstheme="majorBidi"/>
      <w:b/>
      <w:bCs/>
      <w:sz w:val="32"/>
      <w:szCs w:val="32"/>
    </w:rPr>
  </w:style>
  <w:style w:type="table" w:customStyle="1" w:styleId="10">
    <w:name w:val="网格型1"/>
    <w:basedOn w:val="a1"/>
    <w:next w:val="aa"/>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0"/>
    <w:link w:val="3"/>
    <w:uiPriority w:val="9"/>
    <w:rsid w:val="003E7F0E"/>
    <w:rPr>
      <w:rFonts w:ascii="CG Times (WN)" w:eastAsia="宋体" w:hAnsi="CG Times (WN)" w:cs="Times New Roman"/>
      <w:b/>
      <w:bCs/>
      <w:sz w:val="32"/>
      <w:szCs w:val="32"/>
    </w:rPr>
  </w:style>
  <w:style w:type="table" w:customStyle="1" w:styleId="30">
    <w:name w:val="网格型3"/>
    <w:basedOn w:val="a1"/>
    <w:next w:val="aa"/>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A318DD"/>
    <w:rPr>
      <w:color w:val="808080"/>
    </w:rPr>
  </w:style>
  <w:style w:type="table" w:customStyle="1" w:styleId="TableGrid1">
    <w:name w:val="Table Grid1"/>
    <w:basedOn w:val="a1"/>
    <w:next w:val="aa"/>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
    <w:basedOn w:val="a0"/>
    <w:link w:val="5"/>
    <w:uiPriority w:val="9"/>
    <w:semiHidden/>
    <w:rsid w:val="00A8105F"/>
    <w:rPr>
      <w:rFonts w:ascii="CG Times (WN)" w:eastAsia="宋体" w:hAnsi="CG Times (WN)" w:cs="Times New Roman"/>
      <w:b/>
      <w:bCs/>
      <w:sz w:val="28"/>
      <w:szCs w:val="28"/>
    </w:rPr>
  </w:style>
  <w:style w:type="table" w:customStyle="1" w:styleId="40">
    <w:name w:val="网格型4"/>
    <w:basedOn w:val="a1"/>
    <w:next w:val="aa"/>
    <w:uiPriority w:val="59"/>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0"/>
    <w:link w:val="6"/>
    <w:rsid w:val="00C33ADE"/>
    <w:rPr>
      <w:rFonts w:ascii="Times New Roman" w:eastAsia="宋体" w:hAnsi="Times New Roman" w:cs="Times New Roman"/>
      <w:b/>
      <w:bCs/>
      <w:kern w:val="0"/>
      <w:sz w:val="22"/>
      <w:lang w:eastAsia="en-US"/>
    </w:rPr>
  </w:style>
  <w:style w:type="character" w:customStyle="1" w:styleId="7Char">
    <w:name w:val="标题 7 Char"/>
    <w:basedOn w:val="a0"/>
    <w:link w:val="7"/>
    <w:rsid w:val="00C33ADE"/>
    <w:rPr>
      <w:rFonts w:ascii="Times New Roman" w:eastAsia="宋体" w:hAnsi="Times New Roman" w:cs="Times New Roman"/>
      <w:kern w:val="0"/>
      <w:sz w:val="24"/>
      <w:szCs w:val="24"/>
      <w:lang w:eastAsia="en-US"/>
    </w:rPr>
  </w:style>
  <w:style w:type="character" w:customStyle="1" w:styleId="8Char">
    <w:name w:val="标题 8 Char"/>
    <w:basedOn w:val="a0"/>
    <w:link w:val="8"/>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C33ADE"/>
    <w:rPr>
      <w:rFonts w:ascii="Arial" w:eastAsia="宋体" w:hAnsi="Arial" w:cs="Arial"/>
      <w:kern w:val="0"/>
      <w:sz w:val="22"/>
      <w:lang w:eastAsia="en-US"/>
    </w:rPr>
  </w:style>
  <w:style w:type="paragraph" w:styleId="af3">
    <w:name w:val="Title"/>
    <w:basedOn w:val="a"/>
    <w:next w:val="a"/>
    <w:link w:val="Char8"/>
    <w:uiPriority w:val="10"/>
    <w:qFormat/>
    <w:rsid w:val="00C33ADE"/>
    <w:pPr>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3"/>
    <w:uiPriority w:val="10"/>
    <w:rsid w:val="00C33ADE"/>
    <w:rPr>
      <w:rFonts w:asciiTheme="majorHAnsi" w:eastAsiaTheme="majorEastAsia" w:hAnsiTheme="majorHAnsi" w:cstheme="majorBidi"/>
      <w:spacing w:val="-10"/>
      <w:kern w:val="28"/>
      <w:sz w:val="56"/>
      <w:szCs w:val="56"/>
    </w:rPr>
  </w:style>
  <w:style w:type="paragraph" w:styleId="af4">
    <w:name w:val="Subtitle"/>
    <w:basedOn w:val="a"/>
    <w:next w:val="a"/>
    <w:link w:val="Char9"/>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9">
    <w:name w:val="副标题 Char"/>
    <w:basedOn w:val="a0"/>
    <w:link w:val="af4"/>
    <w:uiPriority w:val="11"/>
    <w:rsid w:val="00C33ADE"/>
    <w:rPr>
      <w:color w:val="5A5A5A" w:themeColor="text1" w:themeTint="A5"/>
      <w:spacing w:val="15"/>
      <w:sz w:val="22"/>
    </w:rPr>
  </w:style>
  <w:style w:type="table" w:customStyle="1" w:styleId="50">
    <w:name w:val="网格型5"/>
    <w:basedOn w:val="a1"/>
    <w:next w:val="aa"/>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
    <w:link w:val="CRCoverPageChar"/>
    <w:qFormat/>
    <w:rsid w:val="0029361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93618"/>
    <w:rPr>
      <w:rFonts w:ascii="Arial" w:eastAsia="宋体" w:hAnsi="Arial" w:cs="Times New Roman"/>
      <w:kern w:val="0"/>
      <w:sz w:val="20"/>
      <w:szCs w:val="20"/>
      <w:lang w:val="en-GB" w:eastAsia="en-US"/>
    </w:rPr>
  </w:style>
  <w:style w:type="paragraph" w:customStyle="1" w:styleId="TH">
    <w:name w:val="TH"/>
    <w:basedOn w:val="a"/>
    <w:link w:val="THChar"/>
    <w:qFormat/>
    <w:rsid w:val="001E42C1"/>
    <w:pPr>
      <w:keepNext/>
      <w:keepLines/>
      <w:widowControl/>
      <w:spacing w:before="60" w:after="180"/>
      <w:jc w:val="center"/>
    </w:pPr>
    <w:rPr>
      <w:rFonts w:ascii="Arial" w:eastAsia="Times New Roman" w:hAnsi="Arial"/>
      <w:b/>
      <w:kern w:val="0"/>
      <w:sz w:val="20"/>
      <w:szCs w:val="20"/>
      <w:lang w:val="en-GB" w:eastAsia="en-US"/>
    </w:rPr>
  </w:style>
  <w:style w:type="paragraph" w:customStyle="1" w:styleId="TF">
    <w:name w:val="TF"/>
    <w:aliases w:val="left"/>
    <w:basedOn w:val="TH"/>
    <w:link w:val="TFChar"/>
    <w:qFormat/>
    <w:rsid w:val="001E42C1"/>
    <w:pPr>
      <w:keepNext w:val="0"/>
      <w:spacing w:before="0" w:after="240"/>
    </w:pPr>
  </w:style>
  <w:style w:type="character" w:customStyle="1" w:styleId="THChar">
    <w:name w:val="TH Char"/>
    <w:link w:val="TH"/>
    <w:qFormat/>
    <w:rsid w:val="001E42C1"/>
    <w:rPr>
      <w:rFonts w:ascii="Arial" w:eastAsia="Times New Roman" w:hAnsi="Arial" w:cs="Times New Roman"/>
      <w:b/>
      <w:kern w:val="0"/>
      <w:sz w:val="20"/>
      <w:szCs w:val="20"/>
      <w:lang w:val="en-GB" w:eastAsia="en-US"/>
    </w:rPr>
  </w:style>
  <w:style w:type="character" w:customStyle="1" w:styleId="TFChar">
    <w:name w:val="TF Char"/>
    <w:link w:val="TF"/>
    <w:qFormat/>
    <w:rsid w:val="001E42C1"/>
    <w:rPr>
      <w:rFonts w:ascii="Arial" w:eastAsia="Times New Roman" w:hAnsi="Arial" w:cs="Times New Roman"/>
      <w:b/>
      <w:kern w:val="0"/>
      <w:sz w:val="20"/>
      <w:szCs w:val="20"/>
      <w:lang w:val="en-GB" w:eastAsia="en-US"/>
    </w:rPr>
  </w:style>
  <w:style w:type="paragraph" w:customStyle="1" w:styleId="PL">
    <w:name w:val="PL"/>
    <w:link w:val="PLChar"/>
    <w:qFormat/>
    <w:rsid w:val="00480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0BF3"/>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 w:id="1261066843">
          <w:marLeft w:val="547"/>
          <w:marRight w:val="0"/>
          <w:marTop w:val="360"/>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1564411060">
          <w:marLeft w:val="360"/>
          <w:marRight w:val="0"/>
          <w:marTop w:val="200"/>
          <w:marBottom w:val="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280577828">
          <w:marLeft w:val="1080"/>
          <w:marRight w:val="0"/>
          <w:marTop w:val="1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710347907">
          <w:marLeft w:val="360"/>
          <w:marRight w:val="0"/>
          <w:marTop w:val="2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684865128">
          <w:marLeft w:val="446"/>
          <w:marRight w:val="0"/>
          <w:marTop w:val="0"/>
          <w:marBottom w:val="0"/>
          <w:divBdr>
            <w:top w:val="none" w:sz="0" w:space="0" w:color="auto"/>
            <w:left w:val="none" w:sz="0" w:space="0" w:color="auto"/>
            <w:bottom w:val="none" w:sz="0" w:space="0" w:color="auto"/>
            <w:right w:val="none" w:sz="0" w:space="0" w:color="auto"/>
          </w:divBdr>
        </w:div>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 w:id="1617056451">
          <w:marLeft w:val="360"/>
          <w:marRight w:val="0"/>
          <w:marTop w:val="2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A3391-E384-4BD9-828F-EBC64306D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Hudan (Danica)</dc:creator>
  <cp:keywords/>
  <dc:description/>
  <cp:lastModifiedBy>Huawei</cp:lastModifiedBy>
  <cp:revision>5</cp:revision>
  <dcterms:created xsi:type="dcterms:W3CDTF">2023-02-17T16:37:00Z</dcterms:created>
  <dcterms:modified xsi:type="dcterms:W3CDTF">2023-02-17T16:38:00Z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(3)GmKE7SiVmzDDdJKcoIeS4gK3ha4SOyR3Vk625OYVOfpe0uUpIYYMw38bgmhNSbVvLvi+7IuB
6Wz8u9f6EzyDGboiIGMpscTvD0VHZ/56uTRn0T8VHOriQWXlP8A4MOPskSs40P6RUkNcbiJv
7AEadC2jDuB2B+7ABV6jR5ZhytbjDCMrhk06o0rm/32Orf1eCQXW0MAY50R4TqEHa18wObVg
jdcPkkBpl0nlA8cM7a</vt:lpwstr>
  </property>
  <property fmtid="{D5CDD505-2E9C-101B-9397-08002B2CF9AE}" pid="3" name="_2015_ms_pID_7253431">
    <vt:lpwstr>vKdb9C0H93n8QHnQW5Q7r5FUQjPhW2AMhgy0XM7I3etUBDMbadNeeP
2+CYOaVsQhkk3kEfv593YNPLk0YBiiZz9Hnwv2fWR+ywaoWa4H+yRV7Lor9xGMNJb0P+x54e
xo+Tasrah16vwSRDehOFDAHDvUBHlfWixagS5ejLhJWBscgKVUBJ+b87cOUQdFm9eu8X/nvA
gVoszdwKt6RxNTA3G8+/R4fdAJJPeGxMjXfq</vt:lpwstr>
  </property>
  <property fmtid="{D5CDD505-2E9C-101B-9397-08002B2CF9AE}" pid="4" name="_2015_ms_pID_7253432">
    <vt:lpwstr>GZ/kU12eSOSUtjou1yVEBOU=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1676259399</vt:lpwstr>
  </property>
</Properties>
</file>